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20CE8" w:rsidRPr="006E0A2F" w:rsidRDefault="006E0A2F" w:rsidP="00020CE8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theme="minorHAnsi"/>
          <w:bCs/>
          <w:color w:val="000000"/>
          <w:lang w:eastAsia="es-CR"/>
        </w:rPr>
      </w:pPr>
      <w:r w:rsidRPr="006E0A2F">
        <w:rPr>
          <w:rFonts w:cstheme="minorHAnsi"/>
        </w:rPr>
        <w:fldChar w:fldCharType="begin"/>
      </w:r>
      <w:r w:rsidRPr="006E0A2F">
        <w:rPr>
          <w:rFonts w:cstheme="minorHAnsi"/>
        </w:rPr>
        <w:instrText xml:space="preserve"> HYPERLINK "https://norrag.wordpress.com/2014/10/09/learning-and-working-in-the-informal-economy-what-do-we-know-and-what-should-we-do-a-german-perspective/" </w:instrText>
      </w:r>
      <w:r w:rsidRPr="006E0A2F">
        <w:rPr>
          <w:rFonts w:cstheme="minorHAnsi"/>
        </w:rPr>
        <w:fldChar w:fldCharType="separate"/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Learning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and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Working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in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the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Informal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Economy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–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What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do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we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Know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and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What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Should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we</w:t>
      </w:r>
      <w:proofErr w:type="spell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Do</w:t>
      </w:r>
      <w:proofErr w:type="gram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?</w:t>
      </w:r>
      <w:proofErr w:type="gramEnd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 xml:space="preserve"> A German </w:t>
      </w:r>
      <w:proofErr w:type="spellStart"/>
      <w:r w:rsidR="00020CE8"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t>perspective</w:t>
      </w:r>
      <w:proofErr w:type="spellEnd"/>
      <w:r w:rsidRPr="006E0A2F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es-CR"/>
        </w:rPr>
        <w:fldChar w:fldCharType="end"/>
      </w:r>
    </w:p>
    <w:p w:rsidR="00020CE8" w:rsidRPr="006E0A2F" w:rsidRDefault="00020CE8" w:rsidP="00020C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bdr w:val="none" w:sz="0" w:space="0" w:color="auto" w:frame="1"/>
          <w:lang w:eastAsia="es-CR"/>
        </w:rPr>
      </w:pPr>
      <w:proofErr w:type="spellStart"/>
      <w:r w:rsidRPr="006E0A2F">
        <w:rPr>
          <w:rFonts w:eastAsia="Times New Roman" w:cstheme="minorHAnsi"/>
          <w:color w:val="777777"/>
          <w:bdr w:val="none" w:sz="0" w:space="0" w:color="auto" w:frame="1"/>
          <w:lang w:eastAsia="es-CR"/>
        </w:rPr>
        <w:t>Posted</w:t>
      </w:r>
      <w:proofErr w:type="spellEnd"/>
      <w:r w:rsidRPr="006E0A2F">
        <w:rPr>
          <w:rFonts w:eastAsia="Times New Roman" w:cstheme="minorHAnsi"/>
          <w:color w:val="777777"/>
          <w:bdr w:val="none" w:sz="0" w:space="0" w:color="auto" w:frame="1"/>
          <w:lang w:eastAsia="es-CR"/>
        </w:rPr>
        <w:t xml:space="preserve"> </w:t>
      </w:r>
      <w:proofErr w:type="spellStart"/>
      <w:r w:rsidRPr="006E0A2F">
        <w:rPr>
          <w:rFonts w:eastAsia="Times New Roman" w:cstheme="minorHAnsi"/>
          <w:color w:val="777777"/>
          <w:bdr w:val="none" w:sz="0" w:space="0" w:color="auto" w:frame="1"/>
          <w:lang w:eastAsia="es-CR"/>
        </w:rPr>
        <w:t>on</w:t>
      </w:r>
      <w:proofErr w:type="spellEnd"/>
      <w:r w:rsidRPr="006E0A2F">
        <w:rPr>
          <w:rFonts w:eastAsia="Times New Roman" w:cstheme="minorHAnsi"/>
          <w:color w:val="777777"/>
          <w:lang w:eastAsia="es-CR"/>
        </w:rPr>
        <w:t> </w:t>
      </w:r>
      <w:proofErr w:type="spellStart"/>
      <w:r w:rsidR="006E0A2F" w:rsidRPr="006E0A2F">
        <w:rPr>
          <w:rFonts w:cstheme="minorHAnsi"/>
        </w:rPr>
        <w:fldChar w:fldCharType="begin"/>
      </w:r>
      <w:r w:rsidR="006E0A2F" w:rsidRPr="006E0A2F">
        <w:rPr>
          <w:rFonts w:cstheme="minorHAnsi"/>
        </w:rPr>
        <w:instrText xml:space="preserve"> HYPERLINK "https://norrag.wordpress.com/2014/10/09/learning-and-working-in-the-informal-economy-what-do-we-know-and-what-should-we-do-a-german-perspective/" \o "10:15 am" </w:instrText>
      </w:r>
      <w:r w:rsidR="006E0A2F" w:rsidRPr="006E0A2F">
        <w:rPr>
          <w:rFonts w:cstheme="minorHAnsi"/>
        </w:rPr>
        <w:fldChar w:fldCharType="separate"/>
      </w:r>
      <w:r w:rsidRPr="006E0A2F">
        <w:rPr>
          <w:rFonts w:eastAsia="Times New Roman" w:cstheme="minorHAnsi"/>
          <w:color w:val="777777"/>
          <w:u w:val="single"/>
          <w:bdr w:val="none" w:sz="0" w:space="0" w:color="auto" w:frame="1"/>
          <w:lang w:eastAsia="es-CR"/>
        </w:rPr>
        <w:t>October</w:t>
      </w:r>
      <w:proofErr w:type="spellEnd"/>
      <w:r w:rsidRPr="006E0A2F">
        <w:rPr>
          <w:rFonts w:eastAsia="Times New Roman" w:cstheme="minorHAnsi"/>
          <w:color w:val="777777"/>
          <w:u w:val="single"/>
          <w:bdr w:val="none" w:sz="0" w:space="0" w:color="auto" w:frame="1"/>
          <w:lang w:eastAsia="es-CR"/>
        </w:rPr>
        <w:t xml:space="preserve"> 9, 2014</w:t>
      </w:r>
      <w:r w:rsidR="006E0A2F" w:rsidRPr="006E0A2F">
        <w:rPr>
          <w:rFonts w:eastAsia="Times New Roman" w:cstheme="minorHAnsi"/>
          <w:color w:val="777777"/>
          <w:u w:val="single"/>
          <w:bdr w:val="none" w:sz="0" w:space="0" w:color="auto" w:frame="1"/>
          <w:lang w:eastAsia="es-CR"/>
        </w:rPr>
        <w:fldChar w:fldCharType="end"/>
      </w:r>
      <w:r w:rsidRPr="006E0A2F">
        <w:rPr>
          <w:rFonts w:eastAsia="Times New Roman" w:cstheme="minorHAnsi"/>
          <w:color w:val="777777"/>
          <w:bdr w:val="none" w:sz="0" w:space="0" w:color="auto" w:frame="1"/>
          <w:lang w:eastAsia="es-CR"/>
        </w:rPr>
        <w:t>by </w:t>
      </w:r>
      <w:proofErr w:type="spellStart"/>
      <w:r w:rsidR="006E0A2F" w:rsidRPr="006E0A2F">
        <w:rPr>
          <w:rFonts w:cstheme="minorHAnsi"/>
        </w:rPr>
        <w:fldChar w:fldCharType="begin"/>
      </w:r>
      <w:r w:rsidR="006E0A2F" w:rsidRPr="006E0A2F">
        <w:rPr>
          <w:rFonts w:cstheme="minorHAnsi"/>
        </w:rPr>
        <w:instrText xml:space="preserve"> HYPERLINK "https://norrag.wordp</w:instrText>
      </w:r>
      <w:r w:rsidR="006E0A2F" w:rsidRPr="006E0A2F">
        <w:rPr>
          <w:rFonts w:cstheme="minorHAnsi"/>
        </w:rPr>
        <w:instrText xml:space="preserve">ress.com/author/norrag/" \o "View all posts by norrag" </w:instrText>
      </w:r>
      <w:r w:rsidR="006E0A2F" w:rsidRPr="006E0A2F">
        <w:rPr>
          <w:rFonts w:cstheme="minorHAnsi"/>
        </w:rPr>
        <w:fldChar w:fldCharType="separate"/>
      </w:r>
      <w:r w:rsidRPr="006E0A2F">
        <w:rPr>
          <w:rFonts w:eastAsia="Times New Roman" w:cstheme="minorHAnsi"/>
          <w:color w:val="777777"/>
          <w:u w:val="single"/>
          <w:bdr w:val="none" w:sz="0" w:space="0" w:color="auto" w:frame="1"/>
          <w:lang w:eastAsia="es-CR"/>
        </w:rPr>
        <w:t>norrag</w:t>
      </w:r>
      <w:proofErr w:type="spellEnd"/>
      <w:r w:rsidR="006E0A2F" w:rsidRPr="006E0A2F">
        <w:rPr>
          <w:rFonts w:eastAsia="Times New Roman" w:cstheme="minorHAnsi"/>
          <w:color w:val="777777"/>
          <w:u w:val="single"/>
          <w:bdr w:val="none" w:sz="0" w:space="0" w:color="auto" w:frame="1"/>
          <w:lang w:eastAsia="es-CR"/>
        </w:rPr>
        <w:fldChar w:fldCharType="end"/>
      </w:r>
    </w:p>
    <w:p w:rsidR="008C5136" w:rsidRPr="00020CE8" w:rsidRDefault="006E0A2F" w:rsidP="0002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hyperlink r:id="rId4" w:history="1">
        <w:r w:rsidR="008C5136" w:rsidRPr="006E0A2F">
          <w:rPr>
            <w:rStyle w:val="Hipervnculo"/>
            <w:rFonts w:eastAsia="Times New Roman" w:cstheme="minorHAnsi"/>
            <w:lang w:eastAsia="es-CR"/>
          </w:rPr>
          <w:t>https://norrag.wordpress.com/2014/10/09/learning-and-working-in-the-informal-economy-what-do-we-know-and-what-should-we-do-a-german-perspective/</w:t>
        </w:r>
      </w:hyperlink>
      <w:bookmarkEnd w:id="0"/>
      <w:r w:rsidR="008C5136">
        <w:rPr>
          <w:rFonts w:ascii="Arial" w:eastAsia="Times New Roman" w:hAnsi="Arial" w:cs="Arial"/>
          <w:color w:val="777777"/>
          <w:sz w:val="18"/>
          <w:szCs w:val="18"/>
          <w:lang w:eastAsia="es-CR"/>
        </w:rPr>
        <w:t xml:space="preserve"> </w:t>
      </w:r>
    </w:p>
    <w:p w:rsidR="00020CE8" w:rsidRPr="00020CE8" w:rsidRDefault="00020CE8" w:rsidP="00020CE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Léna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Krichewsky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Otto-von-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Guericke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University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Magdeburg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020CE8" w:rsidRPr="00020CE8" w:rsidRDefault="00020CE8" w:rsidP="00020CE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020CE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CR"/>
        </w:rPr>
        <w:drawing>
          <wp:inline distT="0" distB="0" distL="0" distR="0">
            <wp:extent cx="4314825" cy="1447800"/>
            <wp:effectExtent l="0" t="0" r="9525" b="0"/>
            <wp:docPr id="1" name="Imagen 1" descr="toolk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k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share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self-employed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employees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without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regular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contracts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rising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globally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reaching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70%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workforce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African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like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Ivory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Coast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Mali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Zambia,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60% in Bolivia, Honduras, Nicaragua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Paraguay.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problems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associated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informality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poverty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precarious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conditions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gender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inequalities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social as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well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marginalization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among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others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are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described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analysed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40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numerous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economists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social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scientists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asking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7" w:history="1"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“</w:t>
        </w:r>
        <w:proofErr w:type="spellStart"/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Is</w:t>
        </w:r>
        <w:proofErr w:type="spellEnd"/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informal normal</w:t>
        </w:r>
        <w:proofErr w:type="gramStart"/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?</w:t>
        </w:r>
        <w:proofErr w:type="gramEnd"/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”</w:t>
        </w:r>
      </w:hyperlink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OECD has,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however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challenging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perspective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phenomenon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prompting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reconsider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what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already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know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causes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consequences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employment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020CE8" w:rsidRPr="00020CE8" w:rsidRDefault="00020CE8" w:rsidP="00020CE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Taking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German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Training (VET),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changing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perspectives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observed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materialize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documents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projects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programmes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ground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early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days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VET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focused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setting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up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training centres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modern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equipment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gram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centres</w:t>
      </w:r>
      <w:proofErr w:type="gram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were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be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train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specialists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managers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latest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technologies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who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turn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would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drive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social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own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However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focusing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skills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a non-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embryonic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always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yield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desired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results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In particular,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failed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poorer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segments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population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strengthen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local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‘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’ concept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published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Federal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Ministry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(BMZ) in 1992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made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first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mention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target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group-specific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measures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those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 </w:t>
      </w:r>
      <w:proofErr w:type="spellStart"/>
      <w:r w:rsidR="006E0A2F">
        <w:fldChar w:fldCharType="begin"/>
      </w:r>
      <w:r w:rsidR="006E0A2F">
        <w:instrText xml:space="preserve"> HYPERLINK "http://www.giz.de/de/downloads/giz2011-de-synthesebericht-berufliche-bildung.pdf" </w:instrText>
      </w:r>
      <w:r w:rsidR="006E0A2F">
        <w:fldChar w:fldCharType="separate"/>
      </w:r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The</w:t>
      </w:r>
      <w:proofErr w:type="spellEnd"/>
      <w:proofErr w:type="gramStart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  meta</w:t>
      </w:r>
      <w:proofErr w:type="gramEnd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-</w:t>
      </w:r>
      <w:proofErr w:type="spellStart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evaluation</w:t>
      </w:r>
      <w:proofErr w:type="spellEnd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report</w:t>
      </w:r>
      <w:proofErr w:type="spellEnd"/>
      <w:r w:rsidRPr="00020CE8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(in German)</w:t>
      </w:r>
      <w:r w:rsidR="006E0A2F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fldChar w:fldCharType="end"/>
      </w:r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commissioned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Deutsche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Gesellschaft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für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Internationale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Zusammenarbeit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(GIZ)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GmbH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2011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area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training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found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however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“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very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small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number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[of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projects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] relate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explicitly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sector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pro-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results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most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likely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be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achieved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”. As 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consequence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evaluation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became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four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priority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areas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BMZ’s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strategy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training as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defined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8" w:history="1"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2012 Position </w:t>
        </w:r>
        <w:proofErr w:type="spellStart"/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Paper</w:t>
        </w:r>
        <w:proofErr w:type="spellEnd"/>
      </w:hyperlink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(German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).</w:t>
      </w:r>
    </w:p>
    <w:p w:rsidR="00020CE8" w:rsidRPr="00020CE8" w:rsidRDefault="00020CE8" w:rsidP="00020CE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 xml:space="preserve">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practice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priority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given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BMZ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lead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increased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promotion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a more flexible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VET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provision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systematic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local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target-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group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oriented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measures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holistic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aiming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overcoming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incompatibilities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barriers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between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forms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traditional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apprenticeship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training,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recognition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informally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acquired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skills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opening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up of TVET centres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short-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term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demand-oriented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courses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few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concrete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action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020CE8" w:rsidRPr="00020CE8" w:rsidRDefault="00020CE8" w:rsidP="00020CE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research-based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evidence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costs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benefits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specific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used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promote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target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groups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scarce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examples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good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practice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non-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organisations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-led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agencies.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order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systematise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theoretical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practical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knowledge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informal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economy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BMZ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recently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commissioned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GIZ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online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platform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bringing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results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academic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research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experiences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practitioners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toolkit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now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available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English at </w:t>
      </w:r>
      <w:hyperlink r:id="rId9" w:history="1">
        <w:r w:rsidRPr="00020CE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www.giz.de/toolkit-informal-economy</w:t>
        </w:r>
      </w:hyperlink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Building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insights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renowned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experts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such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Marta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Robert Palmer, Richard Walter and Patrick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Werquin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toolkit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opportunity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foster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exchanges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between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researchers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practitioners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both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Germany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other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020CE8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020CE8" w:rsidRPr="00020CE8" w:rsidRDefault="00020CE8" w:rsidP="00020CE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Léna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Krichewsky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works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at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Department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of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Vocational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Education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and Training,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Otto-von-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Guericke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University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Magdeburg</w:t>
      </w:r>
      <w:proofErr w:type="spellEnd"/>
      <w:r w:rsidRPr="00020CE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. Email: </w:t>
      </w:r>
      <w:hyperlink r:id="rId10" w:history="1">
        <w:r w:rsidRPr="00020CE8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lena.krichewsky@ovgu.de</w:t>
        </w:r>
      </w:hyperlink>
    </w:p>
    <w:p w:rsidR="00020CE8" w:rsidRPr="00020CE8" w:rsidRDefault="00020CE8" w:rsidP="00020CE8">
      <w:pPr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</w:pPr>
      <w:r w:rsidRPr="00020CE8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 xml:space="preserve">Share </w:t>
      </w:r>
      <w:proofErr w:type="spellStart"/>
      <w:r w:rsidRPr="00020CE8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>this</w:t>
      </w:r>
      <w:proofErr w:type="spellEnd"/>
      <w:r w:rsidRPr="00020CE8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>:</w:t>
      </w:r>
    </w:p>
    <w:p w:rsidR="009E0B15" w:rsidRDefault="009E0B15"/>
    <w:sectPr w:rsidR="009E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E8"/>
    <w:rsid w:val="00020CE8"/>
    <w:rsid w:val="006E0A2F"/>
    <w:rsid w:val="008C5136"/>
    <w:rsid w:val="009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937F-E604-40EF-8116-9A26339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020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0CE8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020CE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unhideWhenUsed/>
    <w:rsid w:val="00020CE8"/>
    <w:rPr>
      <w:color w:val="0000FF"/>
      <w:u w:val="single"/>
    </w:rPr>
  </w:style>
  <w:style w:type="character" w:customStyle="1" w:styleId="meta-prep">
    <w:name w:val="meta-prep"/>
    <w:basedOn w:val="Fuentedeprrafopredeter"/>
    <w:rsid w:val="00020CE8"/>
  </w:style>
  <w:style w:type="character" w:customStyle="1" w:styleId="apple-converted-space">
    <w:name w:val="apple-converted-space"/>
    <w:basedOn w:val="Fuentedeprrafopredeter"/>
    <w:rsid w:val="00020CE8"/>
  </w:style>
  <w:style w:type="character" w:customStyle="1" w:styleId="entry-date">
    <w:name w:val="entry-date"/>
    <w:basedOn w:val="Fuentedeprrafopredeter"/>
    <w:rsid w:val="00020CE8"/>
  </w:style>
  <w:style w:type="character" w:customStyle="1" w:styleId="sep">
    <w:name w:val="sep"/>
    <w:basedOn w:val="Fuentedeprrafopredeter"/>
    <w:rsid w:val="00020CE8"/>
  </w:style>
  <w:style w:type="character" w:customStyle="1" w:styleId="author">
    <w:name w:val="author"/>
    <w:basedOn w:val="Fuentedeprrafopredeter"/>
    <w:rsid w:val="00020CE8"/>
  </w:style>
  <w:style w:type="paragraph" w:styleId="NormalWeb">
    <w:name w:val="Normal (Web)"/>
    <w:basedOn w:val="Normal"/>
    <w:uiPriority w:val="99"/>
    <w:semiHidden/>
    <w:unhideWhenUsed/>
    <w:rsid w:val="0002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020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z.de/de/publikationen/themen/bildung/Strategiepapier322_8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cd-ilibrary.org/development/is-informal-normal_9789264059245-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iz.de/expertise/html/10629.html" TargetMode="External"/><Relationship Id="rId10" Type="http://schemas.openxmlformats.org/officeDocument/2006/relationships/hyperlink" Target="mailto:lena.krichewsky@ovgu.de" TargetMode="External"/><Relationship Id="rId4" Type="http://schemas.openxmlformats.org/officeDocument/2006/relationships/hyperlink" Target="https://norrag.wordpress.com/2014/10/09/learning-and-working-in-the-informal-economy-what-do-we-know-and-what-should-we-do-a-german-perspective/" TargetMode="External"/><Relationship Id="rId9" Type="http://schemas.openxmlformats.org/officeDocument/2006/relationships/hyperlink" Target="http://www.giz.de/toolkit-informal-econo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5</cp:revision>
  <dcterms:created xsi:type="dcterms:W3CDTF">2016-10-25T04:10:00Z</dcterms:created>
  <dcterms:modified xsi:type="dcterms:W3CDTF">2016-11-02T14:54:00Z</dcterms:modified>
</cp:coreProperties>
</file>