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DF" w:rsidRDefault="002121DF" w:rsidP="00F876CB">
      <w:pPr>
        <w:shd w:val="clear" w:color="auto" w:fill="FFFFFF"/>
        <w:spacing w:after="225" w:line="240" w:lineRule="auto"/>
        <w:textAlignment w:val="top"/>
        <w:outlineLvl w:val="1"/>
        <w:rPr>
          <w:rFonts w:ascii="Arial" w:eastAsia="Times New Roman" w:hAnsi="Arial" w:cs="Arial"/>
          <w:b/>
          <w:bCs/>
          <w:color w:val="232323"/>
          <w:sz w:val="33"/>
          <w:szCs w:val="33"/>
          <w:lang w:eastAsia="es-CR"/>
        </w:rPr>
      </w:pPr>
      <w:r>
        <w:rPr>
          <w:rFonts w:ascii="Arial" w:eastAsia="Times New Roman" w:hAnsi="Arial" w:cs="Arial"/>
          <w:b/>
          <w:bCs/>
          <w:color w:val="232323"/>
          <w:sz w:val="33"/>
          <w:szCs w:val="33"/>
          <w:lang w:eastAsia="es-CR"/>
        </w:rPr>
        <w:fldChar w:fldCharType="begin"/>
      </w:r>
      <w:r>
        <w:rPr>
          <w:rFonts w:ascii="Arial" w:eastAsia="Times New Roman" w:hAnsi="Arial" w:cs="Arial"/>
          <w:b/>
          <w:bCs/>
          <w:color w:val="232323"/>
          <w:sz w:val="33"/>
          <w:szCs w:val="33"/>
          <w:lang w:eastAsia="es-CR"/>
        </w:rPr>
        <w:instrText xml:space="preserve"> HYPERLINK "</w:instrText>
      </w:r>
      <w:r w:rsidRPr="002121DF">
        <w:rPr>
          <w:rFonts w:ascii="Arial" w:eastAsia="Times New Roman" w:hAnsi="Arial" w:cs="Arial"/>
          <w:b/>
          <w:bCs/>
          <w:color w:val="232323"/>
          <w:sz w:val="33"/>
          <w:szCs w:val="33"/>
          <w:lang w:eastAsia="es-CR"/>
        </w:rPr>
        <w:instrText>http://www.finanzasdigital.com/2016/10/bid-aprueba-prestamos-argentina-honduras-uruguay/</w:instrText>
      </w:r>
      <w:r>
        <w:rPr>
          <w:rFonts w:ascii="Arial" w:eastAsia="Times New Roman" w:hAnsi="Arial" w:cs="Arial"/>
          <w:b/>
          <w:bCs/>
          <w:color w:val="232323"/>
          <w:sz w:val="33"/>
          <w:szCs w:val="33"/>
          <w:lang w:eastAsia="es-CR"/>
        </w:rPr>
        <w:instrText xml:space="preserve">" </w:instrText>
      </w:r>
      <w:r>
        <w:rPr>
          <w:rFonts w:ascii="Arial" w:eastAsia="Times New Roman" w:hAnsi="Arial" w:cs="Arial"/>
          <w:b/>
          <w:bCs/>
          <w:color w:val="232323"/>
          <w:sz w:val="33"/>
          <w:szCs w:val="33"/>
          <w:lang w:eastAsia="es-CR"/>
        </w:rPr>
        <w:fldChar w:fldCharType="separate"/>
      </w:r>
      <w:r w:rsidRPr="004B0026">
        <w:rPr>
          <w:rStyle w:val="Hipervnculo"/>
          <w:rFonts w:ascii="Arial" w:eastAsia="Times New Roman" w:hAnsi="Arial" w:cs="Arial"/>
          <w:b/>
          <w:bCs/>
          <w:sz w:val="33"/>
          <w:szCs w:val="33"/>
          <w:lang w:eastAsia="es-CR"/>
        </w:rPr>
        <w:t>http://www.finanzasdigital.com/2016/10/bid-aprueba-prestamos-argentina-honduras-uruguay/</w:t>
      </w:r>
      <w:r>
        <w:rPr>
          <w:rFonts w:ascii="Arial" w:eastAsia="Times New Roman" w:hAnsi="Arial" w:cs="Arial"/>
          <w:b/>
          <w:bCs/>
          <w:color w:val="232323"/>
          <w:sz w:val="33"/>
          <w:szCs w:val="33"/>
          <w:lang w:eastAsia="es-CR"/>
        </w:rPr>
        <w:fldChar w:fldCharType="end"/>
      </w:r>
    </w:p>
    <w:p w:rsidR="00F876CB" w:rsidRPr="00F876CB" w:rsidRDefault="00F876CB" w:rsidP="00F876CB">
      <w:pPr>
        <w:shd w:val="clear" w:color="auto" w:fill="FFFFFF"/>
        <w:spacing w:after="225" w:line="240" w:lineRule="auto"/>
        <w:textAlignment w:val="top"/>
        <w:outlineLvl w:val="1"/>
        <w:rPr>
          <w:rFonts w:ascii="Arial" w:eastAsia="Times New Roman" w:hAnsi="Arial" w:cs="Arial"/>
          <w:b/>
          <w:bCs/>
          <w:color w:val="232323"/>
          <w:sz w:val="33"/>
          <w:szCs w:val="33"/>
          <w:lang w:eastAsia="es-CR"/>
        </w:rPr>
      </w:pPr>
      <w:bookmarkStart w:id="0" w:name="_GoBack"/>
      <w:bookmarkEnd w:id="0"/>
      <w:r w:rsidRPr="00F876CB">
        <w:rPr>
          <w:rFonts w:ascii="Arial" w:eastAsia="Times New Roman" w:hAnsi="Arial" w:cs="Arial"/>
          <w:b/>
          <w:bCs/>
          <w:color w:val="232323"/>
          <w:sz w:val="33"/>
          <w:szCs w:val="33"/>
          <w:lang w:eastAsia="es-CR"/>
        </w:rPr>
        <w:t>BID aprueba préstamos para Argentina, Honduras, y Uruguay</w:t>
      </w:r>
    </w:p>
    <w:p w:rsidR="00F876CB" w:rsidRPr="00F876CB" w:rsidRDefault="00F876CB" w:rsidP="00F876CB">
      <w:pPr>
        <w:shd w:val="clear" w:color="auto" w:fill="FFFFFF"/>
        <w:spacing w:line="240" w:lineRule="auto"/>
        <w:textAlignment w:val="top"/>
        <w:rPr>
          <w:rFonts w:ascii="Arial" w:eastAsia="Times New Roman" w:hAnsi="Arial" w:cs="Arial"/>
          <w:color w:val="5E5E5E"/>
          <w:sz w:val="20"/>
          <w:szCs w:val="20"/>
          <w:lang w:eastAsia="es-CR"/>
        </w:rPr>
      </w:pPr>
    </w:p>
    <w:p w:rsidR="00F876CB" w:rsidRPr="00F876CB" w:rsidRDefault="00F876CB" w:rsidP="00F876CB">
      <w:pPr>
        <w:spacing w:after="0" w:line="420" w:lineRule="atLeast"/>
        <w:textAlignment w:val="top"/>
        <w:rPr>
          <w:rFonts w:ascii="Arial" w:eastAsia="Times New Roman" w:hAnsi="Arial" w:cs="Arial"/>
          <w:b/>
          <w:bCs/>
          <w:color w:val="232323"/>
          <w:sz w:val="42"/>
          <w:szCs w:val="42"/>
          <w:lang w:eastAsia="es-CR"/>
        </w:rPr>
      </w:pPr>
      <w:r w:rsidRPr="00F876CB">
        <w:rPr>
          <w:rFonts w:ascii="Arial" w:eastAsia="Times New Roman" w:hAnsi="Arial" w:cs="Arial"/>
          <w:b/>
          <w:bCs/>
          <w:color w:val="232323"/>
          <w:sz w:val="42"/>
          <w:szCs w:val="42"/>
          <w:lang w:eastAsia="es-CR"/>
        </w:rPr>
        <w:t>Octubre 19, 2016</w:t>
      </w:r>
    </w:p>
    <w:p w:rsidR="00F876CB" w:rsidRPr="00F876CB" w:rsidRDefault="00F876CB" w:rsidP="00F876CB">
      <w:pPr>
        <w:spacing w:line="312" w:lineRule="atLeast"/>
        <w:textAlignment w:val="top"/>
        <w:rPr>
          <w:rFonts w:ascii="Arial" w:eastAsia="Times New Roman" w:hAnsi="Arial" w:cs="Arial"/>
          <w:color w:val="5E5E5E"/>
          <w:sz w:val="20"/>
          <w:szCs w:val="20"/>
          <w:lang w:eastAsia="es-CR"/>
        </w:rPr>
      </w:pP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El Banco Interamericano de Desarrollo (BID) hoy aprobó tres operaciones para proyectos sobre enfermedades crónicas en Argentina, atención integral a la mujer en Honduras, y educación media en Uruguay.</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A continuación los detalles de los proyectos, los montos y términos de pago:</w:t>
      </w:r>
    </w:p>
    <w:p w:rsidR="00F876CB" w:rsidRPr="00F876CB" w:rsidRDefault="00F876CB" w:rsidP="00F876CB">
      <w:pPr>
        <w:spacing w:after="0"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b/>
          <w:bCs/>
          <w:color w:val="6F6F6F"/>
          <w:sz w:val="18"/>
          <w:szCs w:val="18"/>
          <w:bdr w:val="none" w:sz="0" w:space="0" w:color="auto" w:frame="1"/>
          <w:lang w:eastAsia="es-CR"/>
        </w:rPr>
        <w:t>ARGENTINA:</w:t>
      </w:r>
      <w:r w:rsidRPr="00F876CB">
        <w:rPr>
          <w:rFonts w:ascii="Arial" w:eastAsia="Times New Roman" w:hAnsi="Arial" w:cs="Arial"/>
          <w:color w:val="6F6F6F"/>
          <w:sz w:val="18"/>
          <w:szCs w:val="18"/>
          <w:lang w:eastAsia="es-CR"/>
        </w:rPr>
        <w:t> Préstamo de US$100 millones para financiar un programa que contribuirá a reducir la mortalidad causada por enfermedades crónicas no transmisibles en Argentina, priorizando a la población con cobertura pública exclusiva.</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Esta es la segunda operación que se concreta en el marco de un programa de fases múltiples y por la cual se apunta a jerarquizar el primer nivel de atención como puerta de entrada al sistema de salud; así como incrementar el acceso de la población a tamizajes para su clasificación por riesgo sanitario y aumentar el acceso de la población con riesgo sanitario moderado o alto que padece de condiciones crónicas a tratamientos oportunos.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 xml:space="preserve">“Las enfermedades crónicas causan de más de tres cuartas partes de los años de vida saludables perdidos en Argentina. Atender de manera costo-efectiva a quienes las padecen o están en riesgo de padecerlas requiere un primer nivel de atención con alta capacidad de resolución de consultas y bien integrado con los niveles de mayor complejidad. Este es el desafío que encara el programa </w:t>
      </w:r>
      <w:proofErr w:type="spellStart"/>
      <w:r w:rsidRPr="00F876CB">
        <w:rPr>
          <w:rFonts w:ascii="Arial" w:eastAsia="Times New Roman" w:hAnsi="Arial" w:cs="Arial"/>
          <w:color w:val="6F6F6F"/>
          <w:sz w:val="18"/>
          <w:szCs w:val="18"/>
          <w:lang w:eastAsia="es-CR"/>
        </w:rPr>
        <w:t>multifase</w:t>
      </w:r>
      <w:proofErr w:type="spellEnd"/>
      <w:r w:rsidRPr="00F876CB">
        <w:rPr>
          <w:rFonts w:ascii="Arial" w:eastAsia="Times New Roman" w:hAnsi="Arial" w:cs="Arial"/>
          <w:color w:val="6F6F6F"/>
          <w:sz w:val="18"/>
          <w:szCs w:val="18"/>
          <w:lang w:eastAsia="es-CR"/>
        </w:rPr>
        <w:t>”, dijo Mario Sánchez, jefe del equipo del proyecto del BID.</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El programa procurará mejorar la efectividad de los Centros de Atención Primaria de la Salud, buscando que estos y otros proveedores de servicios del primer nivel de atención cuenten con mejor equipamiento clínico, informático, logístico e infraestructura edilicia.</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Del mismo modo, capacitará a más de 4.000 miembros de los equipos de salud de los centros de atención primaria, financiará una nueva etapa de proyectos de inversión para llegar a alcanzar al menos un 70 por ciento de la población con cobertura pública exclusiva y se financiarán al menos 40 nuevos proyectos innovadores, en la modalidad de fondos concursables, haciéndose un llamado específico a propuestas en localidades con población originaria.</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El programa financiará el equipamiento para el diagnóstico clínico de más de 1.100 centros de atención primaria, y equipará a 1.300 nuevos centros para mejorar la gestión farmacológica y a 1.500 centros de atención, depósitos de medicamentos y farmacias públicas hospitalarias para la mejora en la gestión física de medicamentos. También capacitará a más de 15.000 miembros de los equipos sanitarios del primer nivel de atención en el uso racional y el cuidado de medicamentos.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 xml:space="preserve">Además, se fortalecerá la línea de cuidados oncológicos con objeto de mejorar la efectividad de los centros de atención primaria como promotor de que su población a cargo se realice oportunamente tamizajes para cáncer de mama, </w:t>
      </w:r>
      <w:proofErr w:type="spellStart"/>
      <w:r w:rsidRPr="00F876CB">
        <w:rPr>
          <w:rFonts w:ascii="Arial" w:eastAsia="Times New Roman" w:hAnsi="Arial" w:cs="Arial"/>
          <w:color w:val="6F6F6F"/>
          <w:sz w:val="18"/>
          <w:szCs w:val="18"/>
          <w:lang w:eastAsia="es-CR"/>
        </w:rPr>
        <w:t>cervicouterino</w:t>
      </w:r>
      <w:proofErr w:type="spellEnd"/>
      <w:r w:rsidRPr="00F876CB">
        <w:rPr>
          <w:rFonts w:ascii="Arial" w:eastAsia="Times New Roman" w:hAnsi="Arial" w:cs="Arial"/>
          <w:color w:val="6F6F6F"/>
          <w:sz w:val="18"/>
          <w:szCs w:val="18"/>
          <w:lang w:eastAsia="es-CR"/>
        </w:rPr>
        <w:t xml:space="preserve"> y </w:t>
      </w:r>
      <w:proofErr w:type="spellStart"/>
      <w:r w:rsidRPr="00F876CB">
        <w:rPr>
          <w:rFonts w:ascii="Arial" w:eastAsia="Times New Roman" w:hAnsi="Arial" w:cs="Arial"/>
          <w:color w:val="6F6F6F"/>
          <w:sz w:val="18"/>
          <w:szCs w:val="18"/>
          <w:lang w:eastAsia="es-CR"/>
        </w:rPr>
        <w:t>colorrectal</w:t>
      </w:r>
      <w:proofErr w:type="spellEnd"/>
      <w:r w:rsidRPr="00F876CB">
        <w:rPr>
          <w:rFonts w:ascii="Arial" w:eastAsia="Times New Roman" w:hAnsi="Arial" w:cs="Arial"/>
          <w:color w:val="6F6F6F"/>
          <w:sz w:val="18"/>
          <w:szCs w:val="18"/>
          <w:lang w:eastAsia="es-CR"/>
        </w:rPr>
        <w:t>; y contribuir a mejorar la gestión clínica oncológica a lo largo de toda la línea de cuidado.</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El crédito del BID de US$100 millones tiene 25 años de plazo con 4 años y medio de gracia, una tasa de interés basada en Libor y cuenta con una contrapartida local de US$66 millones.</w:t>
      </w:r>
    </w:p>
    <w:p w:rsidR="00F876CB" w:rsidRPr="00F876CB" w:rsidRDefault="00F876CB" w:rsidP="00F876CB">
      <w:pPr>
        <w:spacing w:after="0"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b/>
          <w:bCs/>
          <w:color w:val="6F6F6F"/>
          <w:sz w:val="18"/>
          <w:szCs w:val="18"/>
          <w:bdr w:val="none" w:sz="0" w:space="0" w:color="auto" w:frame="1"/>
          <w:lang w:eastAsia="es-CR"/>
        </w:rPr>
        <w:t>HONDURAS:</w:t>
      </w:r>
      <w:proofErr w:type="gramStart"/>
      <w:r w:rsidRPr="00F876CB">
        <w:rPr>
          <w:rFonts w:ascii="Arial" w:eastAsia="Times New Roman" w:hAnsi="Arial" w:cs="Arial"/>
          <w:color w:val="6F6F6F"/>
          <w:sz w:val="18"/>
          <w:szCs w:val="18"/>
          <w:lang w:eastAsia="es-CR"/>
        </w:rPr>
        <w:t>  Dos</w:t>
      </w:r>
      <w:proofErr w:type="gramEnd"/>
      <w:r w:rsidRPr="00F876CB">
        <w:rPr>
          <w:rFonts w:ascii="Arial" w:eastAsia="Times New Roman" w:hAnsi="Arial" w:cs="Arial"/>
          <w:color w:val="6F6F6F"/>
          <w:sz w:val="18"/>
          <w:szCs w:val="18"/>
          <w:lang w:eastAsia="es-CR"/>
        </w:rPr>
        <w:t xml:space="preserve"> préstamos por un total de US$20 millones para implementar el programa Ciudad Mujer en Honduras. Los préstamos, que se suman a los US$460.000 de una cooperación técnica no reembolsable, </w:t>
      </w:r>
      <w:r w:rsidRPr="00F876CB">
        <w:rPr>
          <w:rFonts w:ascii="Arial" w:eastAsia="Times New Roman" w:hAnsi="Arial" w:cs="Arial"/>
          <w:color w:val="6F6F6F"/>
          <w:sz w:val="18"/>
          <w:szCs w:val="18"/>
          <w:lang w:eastAsia="es-CR"/>
        </w:rPr>
        <w:lastRenderedPageBreak/>
        <w:t>financiarán el apoyo técnico para adaptar a la realidad y necesidades del país el modelo creado en El Salvador e implementarlo por medio de cuatro centros ubicados en los departamentos de Francisco Morazán, Cortés, Olancho y Atlántida.</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El objetivo de este proyecto, liderado por la Secretaría de Desarrollo e Inclusión Social de Honduras, es mejorar las condiciones de vida de las mujeres hondureñas en términos de su participación laboral, salud sexual y reproductiva, prevención y atención a la violencia y prevención del embarazo en adolescentes.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Además, pretende mejorar las oportunidades socio-económicas de las menores en riesgo de migrar irregularmente y de las mujeres retornadas, siendo una iniciativa de apoyo al Plan de la Alianza para la Prosperidad del Triángulo Norte.</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En Honduras, y pese a los avances logrados en materia de género, persisten serios retos. Cuenta con una de las tasas más altas de embarazos en adolescentes en América Latina y el Caribe (24 por ciento) y la más baja en cuanto a participación laboral femenina (43,1 por ciento). Además, la tasa de feminicidios es una de las más altas del mundo.</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Ciudad Mujer en Honduras integrará en un mismo espacio físico 15 instituciones públicas que prestan servicios especializados aglutinados en seis módulos: autonomía económica, salud sexual y reproductiva, atención a la violencia contra la mujer, atención a adolescentes, educación colectiva y atención infantil para niñas y niños de hasta 12 años mientras sus madres utilizan los servicios.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Honduras se une así a República Dominicana y El Salvador en solicitar apoyo financiero del BID para implementar servicios de atención integrados a las mujeres. La efectividad de este modelo ha sido respaldada por la evaluación de impacto realizada por el BID en El Salvador, donde se encontró que, tras un año de operación del programa, sus usuarias utilizaron en promedio un 43 por ciento más los servicios públicos que las mujeres que no acudieron a los centros.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Los préstamos son de US$12 millones del Capital Ordinario del Banco, con una tasa de interés basada en Libor, y de US$8 millones del Fondo de Operaciones Especiales del Banco, con la tasa de interés de 0,25 por ciento.</w:t>
      </w:r>
    </w:p>
    <w:p w:rsidR="00F876CB" w:rsidRPr="00F876CB" w:rsidRDefault="00F876CB" w:rsidP="00F876CB">
      <w:pPr>
        <w:spacing w:after="0" w:line="240" w:lineRule="auto"/>
        <w:jc w:val="both"/>
        <w:textAlignment w:val="top"/>
        <w:rPr>
          <w:rFonts w:ascii="Arial" w:eastAsia="Times New Roman" w:hAnsi="Arial" w:cs="Arial"/>
          <w:color w:val="6F6F6F"/>
          <w:sz w:val="18"/>
          <w:szCs w:val="18"/>
          <w:highlight w:val="yellow"/>
          <w:lang w:eastAsia="es-CR"/>
        </w:rPr>
      </w:pPr>
      <w:r w:rsidRPr="00F876CB">
        <w:rPr>
          <w:rFonts w:ascii="Arial" w:eastAsia="Times New Roman" w:hAnsi="Arial" w:cs="Arial"/>
          <w:b/>
          <w:bCs/>
          <w:color w:val="6F6F6F"/>
          <w:sz w:val="18"/>
          <w:szCs w:val="18"/>
          <w:bdr w:val="none" w:sz="0" w:space="0" w:color="auto" w:frame="1"/>
          <w:lang w:eastAsia="es-CR"/>
        </w:rPr>
        <w:t>URUGUAY</w:t>
      </w:r>
      <w:r w:rsidRPr="00F876CB">
        <w:rPr>
          <w:rFonts w:ascii="Arial" w:eastAsia="Times New Roman" w:hAnsi="Arial" w:cs="Arial"/>
          <w:color w:val="6F6F6F"/>
          <w:sz w:val="18"/>
          <w:szCs w:val="18"/>
          <w:lang w:eastAsia="es-CR"/>
        </w:rPr>
        <w:t>: </w:t>
      </w:r>
      <w:r w:rsidRPr="00F876CB">
        <w:rPr>
          <w:rFonts w:ascii="Arial" w:eastAsia="Times New Roman" w:hAnsi="Arial" w:cs="Arial"/>
          <w:color w:val="6F6F6F"/>
          <w:sz w:val="18"/>
          <w:szCs w:val="18"/>
          <w:highlight w:val="yellow"/>
          <w:lang w:eastAsia="es-CR"/>
        </w:rPr>
        <w:t>Línea de Crédito para Proyectos de Inversión de US$200 millones y un primer préstamo de US$50 millones para financiar un programa que contribuirá a mejorar el acceso y la calidad de la educación media en Uruguay, y lograr trayectorias educativas continuas y completas.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highlight w:val="yellow"/>
          <w:lang w:eastAsia="es-CR"/>
        </w:rPr>
        <w:t>El programa implementará acciones para mejorar los resultados educativos de los alumnos, entre ellas la definición de perfiles de egreso y de progresión de aprendizajes</w:t>
      </w:r>
      <w:r w:rsidRPr="00F876CB">
        <w:rPr>
          <w:rFonts w:ascii="Arial" w:eastAsia="Times New Roman" w:hAnsi="Arial" w:cs="Arial"/>
          <w:color w:val="6F6F6F"/>
          <w:sz w:val="18"/>
          <w:szCs w:val="18"/>
          <w:lang w:eastAsia="es-CR"/>
        </w:rPr>
        <w:t xml:space="preserve"> considerando la trayectoria completa del estudiante y la implementación de un nuevo marco curricular de referencia nacional, así como la implementación de una estrategia de expansión de la jornada escolar para mejorar los aprendizajes y la equidad educativa.</w:t>
      </w:r>
    </w:p>
    <w:p w:rsidR="00F876CB" w:rsidRPr="00F876CB" w:rsidRDefault="00F876CB" w:rsidP="00F876CB">
      <w:pPr>
        <w:spacing w:after="225" w:line="240" w:lineRule="auto"/>
        <w:jc w:val="both"/>
        <w:textAlignment w:val="top"/>
        <w:rPr>
          <w:rFonts w:ascii="Arial" w:eastAsia="Times New Roman" w:hAnsi="Arial" w:cs="Arial"/>
          <w:color w:val="6F6F6F"/>
          <w:sz w:val="18"/>
          <w:szCs w:val="18"/>
          <w:highlight w:val="yellow"/>
          <w:lang w:eastAsia="es-CR"/>
        </w:rPr>
      </w:pPr>
      <w:r w:rsidRPr="00F876CB">
        <w:rPr>
          <w:rFonts w:ascii="Arial" w:eastAsia="Times New Roman" w:hAnsi="Arial" w:cs="Arial"/>
          <w:color w:val="6F6F6F"/>
          <w:sz w:val="18"/>
          <w:szCs w:val="18"/>
          <w:lang w:eastAsia="es-CR"/>
        </w:rPr>
        <w:t xml:space="preserve">Asimismo, fortalecerá la formación inicial y el desarrollo docente, así como las capacidades de la Administración </w:t>
      </w:r>
      <w:r w:rsidRPr="00F876CB">
        <w:rPr>
          <w:rFonts w:ascii="Arial" w:eastAsia="Times New Roman" w:hAnsi="Arial" w:cs="Arial"/>
          <w:color w:val="6F6F6F"/>
          <w:sz w:val="18"/>
          <w:szCs w:val="18"/>
          <w:highlight w:val="yellow"/>
          <w:lang w:eastAsia="es-CR"/>
        </w:rPr>
        <w:t>Nacional de Educación Pública (ANEP), del Consejo de Educación Secundaria, de Consejo de Educación Técnico-Productiva y de los centros de educación para gestionar y garantizar una educación pública de calidad.</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highlight w:val="yellow"/>
          <w:lang w:eastAsia="es-CR"/>
        </w:rPr>
        <w:t>Adicionalmente, financiará la construcción de 14 nuevos centros educativos</w:t>
      </w:r>
      <w:r w:rsidRPr="00F876CB">
        <w:rPr>
          <w:rFonts w:ascii="Arial" w:eastAsia="Times New Roman" w:hAnsi="Arial" w:cs="Arial"/>
          <w:color w:val="6F6F6F"/>
          <w:sz w:val="18"/>
          <w:szCs w:val="18"/>
          <w:lang w:eastAsia="es-CR"/>
        </w:rPr>
        <w:t xml:space="preserve"> ampliando la oferta de educación media en 2.525 plazas y la oferta de educación media en jornada ampliada en 1.925 plazas. También se ampliarán y equiparán 14 centros de estudios que beneficiarán a 1.850 estudiantes y 13 centros de formación inicial que aumentarán la oferta en 525 plazas, y apoyará el fortalecimiento de ANEP para gestionar Alianzas Público-Privadas en infraestructura escolar.</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El primer préstamo del BID de US$50 millones tiene 25 años de plazo con 5 años y medio de gracia, una tasa de interés basada en Libor y una contrapartida local de US$24,7 millones.</w:t>
      </w:r>
    </w:p>
    <w:p w:rsidR="00F876CB" w:rsidRPr="00F876CB" w:rsidRDefault="00F876CB" w:rsidP="00F876CB">
      <w:pPr>
        <w:spacing w:after="225"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 </w:t>
      </w:r>
    </w:p>
    <w:p w:rsidR="00F876CB" w:rsidRPr="00F876CB" w:rsidRDefault="00F876CB" w:rsidP="00F876CB">
      <w:pPr>
        <w:spacing w:after="0"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i/>
          <w:iCs/>
          <w:color w:val="6F6F6F"/>
          <w:sz w:val="18"/>
          <w:szCs w:val="18"/>
          <w:bdr w:val="none" w:sz="0" w:space="0" w:color="auto" w:frame="1"/>
          <w:lang w:eastAsia="es-CR"/>
        </w:rPr>
        <w:t>Fuente: BID</w:t>
      </w:r>
    </w:p>
    <w:p w:rsidR="00F876CB" w:rsidRPr="00F876CB" w:rsidRDefault="00F876CB" w:rsidP="00F876CB">
      <w:pPr>
        <w:spacing w:line="240" w:lineRule="auto"/>
        <w:jc w:val="both"/>
        <w:textAlignment w:val="top"/>
        <w:rPr>
          <w:rFonts w:ascii="Arial" w:eastAsia="Times New Roman" w:hAnsi="Arial" w:cs="Arial"/>
          <w:color w:val="6F6F6F"/>
          <w:sz w:val="18"/>
          <w:szCs w:val="18"/>
          <w:lang w:eastAsia="es-CR"/>
        </w:rPr>
      </w:pPr>
      <w:r w:rsidRPr="00F876CB">
        <w:rPr>
          <w:rFonts w:ascii="Arial" w:eastAsia="Times New Roman" w:hAnsi="Arial" w:cs="Arial"/>
          <w:color w:val="6F6F6F"/>
          <w:sz w:val="18"/>
          <w:szCs w:val="18"/>
          <w:lang w:eastAsia="es-CR"/>
        </w:rPr>
        <w:t> </w:t>
      </w:r>
    </w:p>
    <w:p w:rsidR="005D64F9" w:rsidRDefault="005D64F9"/>
    <w:sectPr w:rsidR="005D64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CB"/>
    <w:rsid w:val="002121DF"/>
    <w:rsid w:val="005D64F9"/>
    <w:rsid w:val="00F876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1F47-E33A-4B52-A76F-56113B82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876CB"/>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876CB"/>
    <w:rPr>
      <w:rFonts w:ascii="Times New Roman" w:eastAsia="Times New Roman" w:hAnsi="Times New Roman" w:cs="Times New Roman"/>
      <w:b/>
      <w:bCs/>
      <w:sz w:val="36"/>
      <w:szCs w:val="36"/>
      <w:lang w:eastAsia="es-CR"/>
    </w:rPr>
  </w:style>
  <w:style w:type="character" w:styleId="Hipervnculo">
    <w:name w:val="Hyperlink"/>
    <w:basedOn w:val="Fuentedeprrafopredeter"/>
    <w:uiPriority w:val="99"/>
    <w:unhideWhenUsed/>
    <w:rsid w:val="00F876CB"/>
    <w:rPr>
      <w:color w:val="0000FF"/>
      <w:u w:val="single"/>
    </w:rPr>
  </w:style>
  <w:style w:type="character" w:customStyle="1" w:styleId="apple-converted-space">
    <w:name w:val="apple-converted-space"/>
    <w:basedOn w:val="Fuentedeprrafopredeter"/>
    <w:rsid w:val="00F876CB"/>
  </w:style>
  <w:style w:type="paragraph" w:customStyle="1" w:styleId="caps">
    <w:name w:val="caps"/>
    <w:basedOn w:val="Normal"/>
    <w:rsid w:val="00F876C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F876C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F876CB"/>
    <w:rPr>
      <w:b/>
      <w:bCs/>
    </w:rPr>
  </w:style>
  <w:style w:type="character" w:styleId="nfasis">
    <w:name w:val="Emphasis"/>
    <w:basedOn w:val="Fuentedeprrafopredeter"/>
    <w:uiPriority w:val="20"/>
    <w:qFormat/>
    <w:rsid w:val="00F87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2227">
      <w:bodyDiv w:val="1"/>
      <w:marLeft w:val="0"/>
      <w:marRight w:val="0"/>
      <w:marTop w:val="0"/>
      <w:marBottom w:val="0"/>
      <w:divBdr>
        <w:top w:val="none" w:sz="0" w:space="0" w:color="auto"/>
        <w:left w:val="none" w:sz="0" w:space="0" w:color="auto"/>
        <w:bottom w:val="none" w:sz="0" w:space="0" w:color="auto"/>
        <w:right w:val="none" w:sz="0" w:space="0" w:color="auto"/>
      </w:divBdr>
      <w:divsChild>
        <w:div w:id="867333191">
          <w:marLeft w:val="0"/>
          <w:marRight w:val="0"/>
          <w:marTop w:val="0"/>
          <w:marBottom w:val="225"/>
          <w:divBdr>
            <w:top w:val="none" w:sz="0" w:space="0" w:color="auto"/>
            <w:left w:val="none" w:sz="0" w:space="0" w:color="auto"/>
            <w:bottom w:val="none" w:sz="0" w:space="0" w:color="auto"/>
            <w:right w:val="none" w:sz="0" w:space="0" w:color="auto"/>
          </w:divBdr>
        </w:div>
        <w:div w:id="2132437409">
          <w:marLeft w:val="0"/>
          <w:marRight w:val="0"/>
          <w:marTop w:val="0"/>
          <w:marBottom w:val="225"/>
          <w:divBdr>
            <w:top w:val="none" w:sz="0" w:space="0" w:color="auto"/>
            <w:left w:val="none" w:sz="0" w:space="0" w:color="auto"/>
            <w:bottom w:val="dotted" w:sz="6" w:space="0" w:color="CCCCCC"/>
            <w:right w:val="none" w:sz="0" w:space="0" w:color="auto"/>
          </w:divBdr>
          <w:divsChild>
            <w:div w:id="49350898">
              <w:marLeft w:val="0"/>
              <w:marRight w:val="0"/>
              <w:marTop w:val="0"/>
              <w:marBottom w:val="0"/>
              <w:divBdr>
                <w:top w:val="none" w:sz="0" w:space="0" w:color="auto"/>
                <w:left w:val="none" w:sz="0" w:space="0" w:color="auto"/>
                <w:bottom w:val="none" w:sz="0" w:space="0" w:color="auto"/>
                <w:right w:val="none" w:sz="0" w:space="0" w:color="auto"/>
              </w:divBdr>
              <w:divsChild>
                <w:div w:id="2040203862">
                  <w:marLeft w:val="0"/>
                  <w:marRight w:val="0"/>
                  <w:marTop w:val="0"/>
                  <w:marBottom w:val="0"/>
                  <w:divBdr>
                    <w:top w:val="none" w:sz="0" w:space="0" w:color="auto"/>
                    <w:left w:val="none" w:sz="0" w:space="0" w:color="auto"/>
                    <w:bottom w:val="none" w:sz="0" w:space="0" w:color="auto"/>
                    <w:right w:val="none" w:sz="0" w:space="0" w:color="auto"/>
                  </w:divBdr>
                </w:div>
              </w:divsChild>
            </w:div>
            <w:div w:id="906887265">
              <w:marLeft w:val="0"/>
              <w:marRight w:val="0"/>
              <w:marTop w:val="0"/>
              <w:marBottom w:val="0"/>
              <w:divBdr>
                <w:top w:val="none" w:sz="0" w:space="0" w:color="auto"/>
                <w:left w:val="none" w:sz="0" w:space="0" w:color="auto"/>
                <w:bottom w:val="none" w:sz="0" w:space="0" w:color="auto"/>
                <w:right w:val="none" w:sz="0" w:space="0" w:color="auto"/>
              </w:divBdr>
              <w:divsChild>
                <w:div w:id="28460895">
                  <w:marLeft w:val="300"/>
                  <w:marRight w:val="0"/>
                  <w:marTop w:val="0"/>
                  <w:marBottom w:val="0"/>
                  <w:divBdr>
                    <w:top w:val="none" w:sz="0" w:space="8" w:color="auto"/>
                    <w:left w:val="dotted" w:sz="6" w:space="15" w:color="CCCCCC"/>
                    <w:bottom w:val="none" w:sz="0" w:space="0" w:color="auto"/>
                    <w:right w:val="none" w:sz="0" w:space="15" w:color="auto"/>
                  </w:divBdr>
                  <w:divsChild>
                    <w:div w:id="699235020">
                      <w:marLeft w:val="90"/>
                      <w:marRight w:val="0"/>
                      <w:marTop w:val="15"/>
                      <w:marBottom w:val="0"/>
                      <w:divBdr>
                        <w:top w:val="none" w:sz="0" w:space="0" w:color="auto"/>
                        <w:left w:val="none" w:sz="0" w:space="0" w:color="auto"/>
                        <w:bottom w:val="none" w:sz="0" w:space="0" w:color="auto"/>
                        <w:right w:val="none" w:sz="0" w:space="0" w:color="auto"/>
                      </w:divBdr>
                    </w:div>
                    <w:div w:id="526606980">
                      <w:marLeft w:val="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 w:id="558906918">
          <w:marLeft w:val="0"/>
          <w:marRight w:val="0"/>
          <w:marTop w:val="0"/>
          <w:marBottom w:val="300"/>
          <w:divBdr>
            <w:top w:val="none" w:sz="0" w:space="0" w:color="auto"/>
            <w:left w:val="none" w:sz="0" w:space="0" w:color="auto"/>
            <w:bottom w:val="none" w:sz="0" w:space="0" w:color="auto"/>
            <w:right w:val="none" w:sz="0" w:space="0" w:color="auto"/>
          </w:divBdr>
          <w:divsChild>
            <w:div w:id="15764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2016-11-25T05:16:00Z</dcterms:created>
  <dcterms:modified xsi:type="dcterms:W3CDTF">2016-11-25T05:28:00Z</dcterms:modified>
</cp:coreProperties>
</file>