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B44B" w14:textId="1FF72EF3" w:rsidR="00FF52C0" w:rsidRPr="003A7E8D" w:rsidRDefault="00FF6600">
      <w:pPr>
        <w:rPr>
          <w:b/>
          <w:sz w:val="32"/>
          <w:szCs w:val="32"/>
        </w:rPr>
      </w:pPr>
      <w:r>
        <w:rPr>
          <w:b/>
          <w:sz w:val="32"/>
          <w:szCs w:val="32"/>
        </w:rPr>
        <w:t xml:space="preserve">     </w:t>
      </w:r>
      <w:r w:rsidR="00426978">
        <w:rPr>
          <w:b/>
          <w:sz w:val="32"/>
          <w:szCs w:val="32"/>
        </w:rPr>
        <w:t xml:space="preserve"> </w:t>
      </w:r>
      <w:r>
        <w:rPr>
          <w:b/>
          <w:sz w:val="32"/>
          <w:szCs w:val="32"/>
        </w:rPr>
        <w:t>Intervenciones</w:t>
      </w:r>
      <w:r w:rsidR="007F2B51" w:rsidRPr="003A7E8D">
        <w:rPr>
          <w:b/>
          <w:sz w:val="32"/>
          <w:szCs w:val="32"/>
        </w:rPr>
        <w:t xml:space="preserve"> del BID</w:t>
      </w:r>
      <w:r w:rsidR="003A7E8D">
        <w:rPr>
          <w:b/>
          <w:sz w:val="32"/>
          <w:szCs w:val="32"/>
        </w:rPr>
        <w:t xml:space="preserve"> en la Educación Pública </w:t>
      </w:r>
      <w:r>
        <w:rPr>
          <w:b/>
          <w:sz w:val="32"/>
          <w:szCs w:val="32"/>
        </w:rPr>
        <w:t>en Argentina</w:t>
      </w:r>
    </w:p>
    <w:p w14:paraId="30648580" w14:textId="77777777" w:rsidR="007F2B51" w:rsidRDefault="007F2B51"/>
    <w:p w14:paraId="1B625AB1" w14:textId="77777777" w:rsidR="007F2B51" w:rsidRDefault="007F2B51"/>
    <w:tbl>
      <w:tblPr>
        <w:tblStyle w:val="Tablaconcuadrcula"/>
        <w:tblW w:w="14034" w:type="dxa"/>
        <w:tblInd w:w="-459" w:type="dxa"/>
        <w:tblLayout w:type="fixed"/>
        <w:tblLook w:val="04A0" w:firstRow="1" w:lastRow="0" w:firstColumn="1" w:lastColumn="0" w:noHBand="0" w:noVBand="1"/>
      </w:tblPr>
      <w:tblGrid>
        <w:gridCol w:w="1701"/>
        <w:gridCol w:w="2127"/>
        <w:gridCol w:w="1559"/>
        <w:gridCol w:w="1559"/>
        <w:gridCol w:w="1843"/>
        <w:gridCol w:w="1843"/>
        <w:gridCol w:w="1701"/>
        <w:gridCol w:w="1701"/>
      </w:tblGrid>
      <w:tr w:rsidR="00BC4D82" w14:paraId="747FFCCB" w14:textId="6616C754" w:rsidTr="00BC4D82">
        <w:trPr>
          <w:trHeight w:val="556"/>
        </w:trPr>
        <w:tc>
          <w:tcPr>
            <w:tcW w:w="1701" w:type="dxa"/>
            <w:shd w:val="clear" w:color="auto" w:fill="FFFF00"/>
          </w:tcPr>
          <w:p w14:paraId="273DEDF4" w14:textId="7A985F77" w:rsidR="00BC4D82" w:rsidRPr="00671832" w:rsidRDefault="00BC4D82" w:rsidP="00671832">
            <w:pPr>
              <w:jc w:val="center"/>
              <w:rPr>
                <w:b/>
              </w:rPr>
            </w:pPr>
            <w:r w:rsidRPr="00671832">
              <w:rPr>
                <w:b/>
              </w:rPr>
              <w:t>País</w:t>
            </w:r>
          </w:p>
        </w:tc>
        <w:tc>
          <w:tcPr>
            <w:tcW w:w="12333" w:type="dxa"/>
            <w:gridSpan w:val="7"/>
            <w:shd w:val="clear" w:color="auto" w:fill="FFFF00"/>
          </w:tcPr>
          <w:p w14:paraId="40D2C367" w14:textId="48DD727C" w:rsidR="00BC4D82" w:rsidRPr="00BC4D82" w:rsidRDefault="00BC4D82" w:rsidP="00BC4D82">
            <w:pPr>
              <w:ind w:left="360"/>
              <w:rPr>
                <w:b/>
              </w:rPr>
            </w:pPr>
            <w:r>
              <w:rPr>
                <w:b/>
                <w:highlight w:val="yellow"/>
              </w:rPr>
              <w:t xml:space="preserve">                                                                    </w:t>
            </w:r>
            <w:r w:rsidRPr="00BC4D82">
              <w:rPr>
                <w:b/>
                <w:highlight w:val="yellow"/>
              </w:rPr>
              <w:t>Proyectos</w:t>
            </w:r>
          </w:p>
        </w:tc>
      </w:tr>
      <w:tr w:rsidR="00BC4D82" w:rsidRPr="00B9405E" w14:paraId="30E36A2D" w14:textId="2FB09699" w:rsidTr="00BC4D82">
        <w:trPr>
          <w:trHeight w:val="1372"/>
        </w:trPr>
        <w:tc>
          <w:tcPr>
            <w:tcW w:w="1701" w:type="dxa"/>
          </w:tcPr>
          <w:p w14:paraId="6D11F925" w14:textId="6B94A51E" w:rsidR="00BB21AF" w:rsidRPr="00B9405E" w:rsidRDefault="00BC4D82" w:rsidP="00146C2A">
            <w:pPr>
              <w:jc w:val="center"/>
              <w:rPr>
                <w:b/>
              </w:rPr>
            </w:pPr>
            <w:r>
              <w:rPr>
                <w:b/>
              </w:rPr>
              <w:t>Argentina</w:t>
            </w:r>
          </w:p>
        </w:tc>
        <w:tc>
          <w:tcPr>
            <w:tcW w:w="2127" w:type="dxa"/>
          </w:tcPr>
          <w:p w14:paraId="4508DBD2" w14:textId="1B10DCAC" w:rsidR="00BB21AF" w:rsidRPr="00B9405E" w:rsidRDefault="00BB21AF" w:rsidP="00251605">
            <w:pPr>
              <w:widowControl w:val="0"/>
              <w:autoSpaceDE w:val="0"/>
              <w:autoSpaceDN w:val="0"/>
              <w:adjustRightInd w:val="0"/>
              <w:spacing w:after="240"/>
              <w:rPr>
                <w:b/>
              </w:rPr>
            </w:pPr>
            <w:r w:rsidRPr="00B9405E">
              <w:rPr>
                <w:b/>
              </w:rPr>
              <w:t>Programa de apoyo a la política de mejoramiento de la equidad educativa –PROMEDU I</w:t>
            </w:r>
          </w:p>
        </w:tc>
        <w:tc>
          <w:tcPr>
            <w:tcW w:w="1559" w:type="dxa"/>
          </w:tcPr>
          <w:p w14:paraId="13031305" w14:textId="279BE3CA" w:rsidR="00BB21AF" w:rsidRPr="00B9405E" w:rsidRDefault="00BB21AF" w:rsidP="00251605">
            <w:pPr>
              <w:widowControl w:val="0"/>
              <w:autoSpaceDE w:val="0"/>
              <w:autoSpaceDN w:val="0"/>
              <w:adjustRightInd w:val="0"/>
              <w:spacing w:after="240"/>
              <w:rPr>
                <w:b/>
              </w:rPr>
            </w:pPr>
            <w:r w:rsidRPr="00B9405E">
              <w:rPr>
                <w:b/>
              </w:rPr>
              <w:t>Programa de apoyo a la política de mejoramiento de la equidad educativa –PROMEDU I</w:t>
            </w:r>
            <w:r>
              <w:rPr>
                <w:b/>
              </w:rPr>
              <w:t>I</w:t>
            </w:r>
          </w:p>
        </w:tc>
        <w:tc>
          <w:tcPr>
            <w:tcW w:w="1559" w:type="dxa"/>
          </w:tcPr>
          <w:p w14:paraId="23769218" w14:textId="4BD65CEC" w:rsidR="00BB21AF" w:rsidRPr="00B9405E" w:rsidRDefault="00BB21AF" w:rsidP="00251605">
            <w:pPr>
              <w:widowControl w:val="0"/>
              <w:autoSpaceDE w:val="0"/>
              <w:autoSpaceDN w:val="0"/>
              <w:adjustRightInd w:val="0"/>
              <w:spacing w:after="240"/>
              <w:rPr>
                <w:rFonts w:cs="Times"/>
                <w:b/>
                <w:color w:val="000000"/>
                <w:lang w:val="es-ES"/>
              </w:rPr>
            </w:pPr>
            <w:r w:rsidRPr="00B9405E">
              <w:rPr>
                <w:b/>
              </w:rPr>
              <w:t>Programa de apoyo a la política de mejoramiento de la equidad educativa –PROMEDU III</w:t>
            </w:r>
            <w:r>
              <w:rPr>
                <w:b/>
              </w:rPr>
              <w:t>*</w:t>
            </w:r>
            <w:r w:rsidRPr="00B9405E">
              <w:rPr>
                <w:rFonts w:cs="Times"/>
                <w:b/>
                <w:color w:val="000000"/>
                <w:lang w:val="es-ES"/>
              </w:rPr>
              <w:t xml:space="preserve"> </w:t>
            </w:r>
          </w:p>
        </w:tc>
        <w:tc>
          <w:tcPr>
            <w:tcW w:w="1843" w:type="dxa"/>
          </w:tcPr>
          <w:p w14:paraId="02DD3361" w14:textId="4C3B916A" w:rsidR="00BB21AF" w:rsidRPr="00B9405E" w:rsidRDefault="00BB21AF" w:rsidP="00B9405E">
            <w:pPr>
              <w:widowControl w:val="0"/>
              <w:autoSpaceDE w:val="0"/>
              <w:autoSpaceDN w:val="0"/>
              <w:adjustRightInd w:val="0"/>
              <w:spacing w:after="240"/>
              <w:rPr>
                <w:b/>
              </w:rPr>
            </w:pPr>
            <w:r w:rsidRPr="00B9405E">
              <w:rPr>
                <w:b/>
              </w:rPr>
              <w:t>Programa de apoyo a la política de mejoramiento de la equidad educativa –PROMEDU IV</w:t>
            </w:r>
            <w:r>
              <w:rPr>
                <w:b/>
              </w:rPr>
              <w:t>**</w:t>
            </w:r>
          </w:p>
        </w:tc>
        <w:tc>
          <w:tcPr>
            <w:tcW w:w="1843" w:type="dxa"/>
          </w:tcPr>
          <w:p w14:paraId="0C7F81E3" w14:textId="77777777" w:rsidR="00BB21AF" w:rsidRPr="00B9405E" w:rsidRDefault="00BB21AF" w:rsidP="00E5634C">
            <w:pPr>
              <w:jc w:val="center"/>
              <w:rPr>
                <w:b/>
              </w:rPr>
            </w:pPr>
            <w:r w:rsidRPr="00B9405E">
              <w:rPr>
                <w:b/>
              </w:rPr>
              <w:t>Apoyo a la expansión de un modelo de educación educativa</w:t>
            </w:r>
          </w:p>
          <w:p w14:paraId="5A83ECA8" w14:textId="77777777" w:rsidR="00BB21AF" w:rsidRPr="00B9405E" w:rsidRDefault="00BB21AF" w:rsidP="00B9405E">
            <w:pPr>
              <w:widowControl w:val="0"/>
              <w:autoSpaceDE w:val="0"/>
              <w:autoSpaceDN w:val="0"/>
              <w:adjustRightInd w:val="0"/>
              <w:spacing w:after="240"/>
              <w:rPr>
                <w:b/>
              </w:rPr>
            </w:pPr>
          </w:p>
        </w:tc>
        <w:tc>
          <w:tcPr>
            <w:tcW w:w="1701" w:type="dxa"/>
          </w:tcPr>
          <w:p w14:paraId="25193C75" w14:textId="287AE374" w:rsidR="00BB21AF" w:rsidRPr="00B9405E" w:rsidRDefault="00BB21AF" w:rsidP="00E5634C">
            <w:pPr>
              <w:jc w:val="center"/>
              <w:rPr>
                <w:b/>
              </w:rPr>
            </w:pPr>
            <w:r w:rsidRPr="00B9405E">
              <w:rPr>
                <w:rFonts w:cs="Lucida Grande"/>
                <w:b/>
                <w:color w:val="000000"/>
              </w:rPr>
              <w:t>Apoyo al diálogo del país para promover la calidad educativa</w:t>
            </w:r>
          </w:p>
        </w:tc>
        <w:tc>
          <w:tcPr>
            <w:tcW w:w="1701" w:type="dxa"/>
          </w:tcPr>
          <w:p w14:paraId="230A1CA2" w14:textId="6128232C" w:rsidR="00BB21AF" w:rsidRPr="00B9405E" w:rsidRDefault="00BB21AF" w:rsidP="00E5634C">
            <w:pPr>
              <w:jc w:val="center"/>
              <w:rPr>
                <w:b/>
              </w:rPr>
            </w:pPr>
            <w:r w:rsidRPr="00B9405E">
              <w:rPr>
                <w:b/>
              </w:rPr>
              <w:t>Apoyo al Plan Nacional en primera Infancia</w:t>
            </w:r>
          </w:p>
        </w:tc>
      </w:tr>
      <w:tr w:rsidR="00BC4D82" w:rsidRPr="00B9405E" w14:paraId="194368BF" w14:textId="7E275324" w:rsidTr="00BC4D82">
        <w:trPr>
          <w:trHeight w:val="242"/>
        </w:trPr>
        <w:tc>
          <w:tcPr>
            <w:tcW w:w="1701" w:type="dxa"/>
            <w:shd w:val="clear" w:color="auto" w:fill="FABF8F" w:themeFill="accent6" w:themeFillTint="99"/>
          </w:tcPr>
          <w:p w14:paraId="1F6CFE64" w14:textId="194C1025" w:rsidR="00BB21AF" w:rsidRPr="00BC4D82" w:rsidRDefault="00BB21AF" w:rsidP="00ED206D">
            <w:pPr>
              <w:jc w:val="center"/>
              <w:rPr>
                <w:b/>
              </w:rPr>
            </w:pPr>
            <w:r w:rsidRPr="00BC4D82">
              <w:rPr>
                <w:b/>
              </w:rPr>
              <w:t>Monto en US$ Dólares</w:t>
            </w:r>
          </w:p>
        </w:tc>
        <w:tc>
          <w:tcPr>
            <w:tcW w:w="2127" w:type="dxa"/>
            <w:shd w:val="clear" w:color="auto" w:fill="FABF8F" w:themeFill="accent6" w:themeFillTint="99"/>
          </w:tcPr>
          <w:p w14:paraId="5A67276F" w14:textId="163027F2" w:rsidR="00BB21AF" w:rsidRPr="00BC4D82" w:rsidRDefault="00BB21AF" w:rsidP="00ED206D">
            <w:pPr>
              <w:jc w:val="center"/>
              <w:rPr>
                <w:b/>
                <w:sz w:val="20"/>
                <w:szCs w:val="20"/>
              </w:rPr>
            </w:pPr>
            <w:r w:rsidRPr="00BC4D82">
              <w:rPr>
                <w:b/>
                <w:sz w:val="20"/>
                <w:szCs w:val="20"/>
              </w:rPr>
              <w:t>630 000 000</w:t>
            </w:r>
          </w:p>
          <w:p w14:paraId="317EBAB6" w14:textId="51FE09F0" w:rsidR="00BB21AF" w:rsidRPr="00BC4D82" w:rsidRDefault="00BB21AF" w:rsidP="00ED206D">
            <w:pPr>
              <w:jc w:val="center"/>
              <w:rPr>
                <w:b/>
                <w:sz w:val="20"/>
                <w:szCs w:val="20"/>
              </w:rPr>
            </w:pPr>
            <w:r w:rsidRPr="00BC4D82">
              <w:rPr>
                <w:b/>
                <w:sz w:val="20"/>
                <w:szCs w:val="20"/>
              </w:rPr>
              <w:t>(630 millones)</w:t>
            </w:r>
          </w:p>
        </w:tc>
        <w:tc>
          <w:tcPr>
            <w:tcW w:w="1559" w:type="dxa"/>
            <w:shd w:val="clear" w:color="auto" w:fill="FABF8F" w:themeFill="accent6" w:themeFillTint="99"/>
          </w:tcPr>
          <w:p w14:paraId="06D32C59" w14:textId="77777777" w:rsidR="00BB21AF" w:rsidRPr="00BC4D82" w:rsidRDefault="00BB21AF" w:rsidP="00ED206D">
            <w:pPr>
              <w:jc w:val="center"/>
              <w:rPr>
                <w:b/>
                <w:sz w:val="20"/>
                <w:szCs w:val="20"/>
              </w:rPr>
            </w:pPr>
            <w:r w:rsidRPr="00BC4D82">
              <w:rPr>
                <w:b/>
                <w:sz w:val="20"/>
                <w:szCs w:val="20"/>
              </w:rPr>
              <w:t>495 000 000</w:t>
            </w:r>
          </w:p>
          <w:p w14:paraId="4F88E961" w14:textId="65BFA4B5" w:rsidR="00BB21AF" w:rsidRPr="00BC4D82" w:rsidRDefault="00BB21AF" w:rsidP="00ED206D">
            <w:pPr>
              <w:jc w:val="center"/>
              <w:rPr>
                <w:b/>
                <w:sz w:val="20"/>
                <w:szCs w:val="20"/>
              </w:rPr>
            </w:pPr>
            <w:r w:rsidRPr="00BC4D82">
              <w:rPr>
                <w:b/>
                <w:sz w:val="20"/>
                <w:szCs w:val="20"/>
              </w:rPr>
              <w:t>(495 millones)</w:t>
            </w:r>
          </w:p>
        </w:tc>
        <w:tc>
          <w:tcPr>
            <w:tcW w:w="1559" w:type="dxa"/>
            <w:shd w:val="clear" w:color="auto" w:fill="FABF8F" w:themeFill="accent6" w:themeFillTint="99"/>
          </w:tcPr>
          <w:p w14:paraId="49287E9C" w14:textId="77777777" w:rsidR="00BB21AF" w:rsidRPr="00BC4D82" w:rsidRDefault="00BB21AF" w:rsidP="00ED206D">
            <w:pPr>
              <w:jc w:val="center"/>
              <w:rPr>
                <w:b/>
                <w:sz w:val="20"/>
                <w:szCs w:val="20"/>
              </w:rPr>
            </w:pPr>
            <w:r w:rsidRPr="00BC4D82">
              <w:rPr>
                <w:b/>
                <w:sz w:val="20"/>
                <w:szCs w:val="20"/>
              </w:rPr>
              <w:t>280 000 000</w:t>
            </w:r>
          </w:p>
          <w:p w14:paraId="0FD68CBF" w14:textId="76227743" w:rsidR="00BB21AF" w:rsidRPr="00BC4D82" w:rsidRDefault="00BB21AF" w:rsidP="00ED206D">
            <w:pPr>
              <w:jc w:val="center"/>
              <w:rPr>
                <w:b/>
                <w:sz w:val="20"/>
                <w:szCs w:val="20"/>
              </w:rPr>
            </w:pPr>
            <w:r w:rsidRPr="00BC4D82">
              <w:rPr>
                <w:b/>
                <w:sz w:val="20"/>
                <w:szCs w:val="20"/>
              </w:rPr>
              <w:t>(280 millones)</w:t>
            </w:r>
          </w:p>
        </w:tc>
        <w:tc>
          <w:tcPr>
            <w:tcW w:w="1843" w:type="dxa"/>
            <w:shd w:val="clear" w:color="auto" w:fill="FABF8F" w:themeFill="accent6" w:themeFillTint="99"/>
          </w:tcPr>
          <w:p w14:paraId="186CA7C6" w14:textId="77777777" w:rsidR="00BB21AF" w:rsidRPr="00BC4D82" w:rsidRDefault="00BB21AF" w:rsidP="00ED206D">
            <w:pPr>
              <w:jc w:val="center"/>
              <w:rPr>
                <w:b/>
              </w:rPr>
            </w:pPr>
            <w:r w:rsidRPr="00BC4D82">
              <w:rPr>
                <w:b/>
              </w:rPr>
              <w:t>200 000 000</w:t>
            </w:r>
          </w:p>
          <w:p w14:paraId="1A30A642" w14:textId="415D47A5" w:rsidR="00BB21AF" w:rsidRPr="00BC4D82" w:rsidRDefault="00BB21AF" w:rsidP="00ED206D">
            <w:pPr>
              <w:jc w:val="center"/>
              <w:rPr>
                <w:b/>
              </w:rPr>
            </w:pPr>
            <w:r w:rsidRPr="00BC4D82">
              <w:rPr>
                <w:b/>
              </w:rPr>
              <w:t>(200 millones)</w:t>
            </w:r>
          </w:p>
        </w:tc>
        <w:tc>
          <w:tcPr>
            <w:tcW w:w="1843" w:type="dxa"/>
            <w:shd w:val="clear" w:color="auto" w:fill="FABF8F" w:themeFill="accent6" w:themeFillTint="99"/>
          </w:tcPr>
          <w:p w14:paraId="12A687E8" w14:textId="77777777" w:rsidR="00BB21AF" w:rsidRPr="00BC4D82" w:rsidRDefault="00BB21AF" w:rsidP="00E5634C">
            <w:pPr>
              <w:jc w:val="center"/>
              <w:rPr>
                <w:b/>
                <w:sz w:val="20"/>
                <w:szCs w:val="20"/>
              </w:rPr>
            </w:pPr>
            <w:r w:rsidRPr="00BC4D82">
              <w:rPr>
                <w:b/>
                <w:sz w:val="20"/>
                <w:szCs w:val="20"/>
              </w:rPr>
              <w:t>500 000</w:t>
            </w:r>
          </w:p>
          <w:p w14:paraId="2725DD06" w14:textId="19B889BA" w:rsidR="00BB21AF" w:rsidRPr="00BC4D82" w:rsidRDefault="00BB21AF" w:rsidP="00ED206D">
            <w:pPr>
              <w:jc w:val="center"/>
              <w:rPr>
                <w:b/>
              </w:rPr>
            </w:pPr>
            <w:r w:rsidRPr="00BC4D82">
              <w:rPr>
                <w:b/>
                <w:sz w:val="20"/>
                <w:szCs w:val="20"/>
              </w:rPr>
              <w:t>(500 mil)</w:t>
            </w:r>
          </w:p>
        </w:tc>
        <w:tc>
          <w:tcPr>
            <w:tcW w:w="1701" w:type="dxa"/>
            <w:shd w:val="clear" w:color="auto" w:fill="FABF8F" w:themeFill="accent6" w:themeFillTint="99"/>
          </w:tcPr>
          <w:p w14:paraId="0D7498C2" w14:textId="77777777" w:rsidR="00BB21AF" w:rsidRPr="00BC4D82" w:rsidRDefault="00BB21AF" w:rsidP="00456243">
            <w:pPr>
              <w:jc w:val="center"/>
              <w:rPr>
                <w:b/>
                <w:sz w:val="20"/>
                <w:szCs w:val="20"/>
              </w:rPr>
            </w:pPr>
            <w:r w:rsidRPr="00BC4D82">
              <w:rPr>
                <w:b/>
                <w:sz w:val="20"/>
                <w:szCs w:val="20"/>
              </w:rPr>
              <w:t>175 000</w:t>
            </w:r>
          </w:p>
          <w:p w14:paraId="7AE8F8E0" w14:textId="4D15061E" w:rsidR="00BB21AF" w:rsidRPr="00BC4D82" w:rsidRDefault="00BB21AF" w:rsidP="00E5634C">
            <w:pPr>
              <w:jc w:val="center"/>
              <w:rPr>
                <w:b/>
                <w:sz w:val="20"/>
                <w:szCs w:val="20"/>
              </w:rPr>
            </w:pPr>
            <w:r w:rsidRPr="00BC4D82">
              <w:rPr>
                <w:b/>
                <w:sz w:val="20"/>
                <w:szCs w:val="20"/>
              </w:rPr>
              <w:t>(175 mil)</w:t>
            </w:r>
          </w:p>
        </w:tc>
        <w:tc>
          <w:tcPr>
            <w:tcW w:w="1701" w:type="dxa"/>
            <w:shd w:val="clear" w:color="auto" w:fill="FABF8F" w:themeFill="accent6" w:themeFillTint="99"/>
          </w:tcPr>
          <w:p w14:paraId="5BDA2FF1" w14:textId="77777777" w:rsidR="00BB21AF" w:rsidRPr="00BC4D82" w:rsidRDefault="00BB21AF" w:rsidP="00456243">
            <w:pPr>
              <w:jc w:val="center"/>
              <w:rPr>
                <w:b/>
                <w:sz w:val="20"/>
                <w:szCs w:val="20"/>
              </w:rPr>
            </w:pPr>
            <w:r w:rsidRPr="00BC4D82">
              <w:rPr>
                <w:b/>
                <w:sz w:val="20"/>
                <w:szCs w:val="20"/>
              </w:rPr>
              <w:t>250 000</w:t>
            </w:r>
          </w:p>
          <w:p w14:paraId="56C981F0" w14:textId="5C6E0C09" w:rsidR="00BB21AF" w:rsidRPr="00BC4D82" w:rsidRDefault="00BB21AF" w:rsidP="00E5634C">
            <w:pPr>
              <w:jc w:val="center"/>
              <w:rPr>
                <w:b/>
                <w:sz w:val="20"/>
                <w:szCs w:val="20"/>
              </w:rPr>
            </w:pPr>
            <w:r w:rsidRPr="00BC4D82">
              <w:rPr>
                <w:b/>
                <w:sz w:val="20"/>
                <w:szCs w:val="20"/>
              </w:rPr>
              <w:t>(250 mil)</w:t>
            </w:r>
          </w:p>
        </w:tc>
      </w:tr>
      <w:tr w:rsidR="00BC4D82" w:rsidRPr="00B9405E" w14:paraId="4FA92F79" w14:textId="2B98729A" w:rsidTr="00BC4D82">
        <w:trPr>
          <w:trHeight w:val="242"/>
        </w:trPr>
        <w:tc>
          <w:tcPr>
            <w:tcW w:w="1701" w:type="dxa"/>
            <w:shd w:val="clear" w:color="auto" w:fill="FFFF00"/>
          </w:tcPr>
          <w:p w14:paraId="4EDFFCC9" w14:textId="1B6D0B75" w:rsidR="00BB21AF" w:rsidRPr="00B9405E" w:rsidRDefault="00BB21AF" w:rsidP="00547FA4">
            <w:pPr>
              <w:rPr>
                <w:b/>
                <w:sz w:val="22"/>
                <w:szCs w:val="22"/>
              </w:rPr>
            </w:pPr>
            <w:r w:rsidRPr="00B9405E">
              <w:rPr>
                <w:b/>
                <w:sz w:val="22"/>
                <w:szCs w:val="22"/>
              </w:rPr>
              <w:t>Fecha de aprobación</w:t>
            </w:r>
          </w:p>
        </w:tc>
        <w:tc>
          <w:tcPr>
            <w:tcW w:w="2127" w:type="dxa"/>
            <w:shd w:val="clear" w:color="auto" w:fill="FFFF00"/>
          </w:tcPr>
          <w:p w14:paraId="06617449" w14:textId="5F4D16AA" w:rsidR="00BB21AF" w:rsidRPr="00B9405E" w:rsidRDefault="00BB21AF">
            <w:pPr>
              <w:rPr>
                <w:b/>
                <w:sz w:val="22"/>
                <w:szCs w:val="22"/>
              </w:rPr>
            </w:pPr>
            <w:r w:rsidRPr="00B9405E">
              <w:rPr>
                <w:b/>
                <w:sz w:val="22"/>
                <w:szCs w:val="22"/>
              </w:rPr>
              <w:t xml:space="preserve"> 2008</w:t>
            </w:r>
          </w:p>
        </w:tc>
        <w:tc>
          <w:tcPr>
            <w:tcW w:w="1559" w:type="dxa"/>
            <w:shd w:val="clear" w:color="auto" w:fill="FFFF00"/>
          </w:tcPr>
          <w:p w14:paraId="63B6D82E" w14:textId="490DA6D9" w:rsidR="00BB21AF" w:rsidRPr="00B9405E" w:rsidRDefault="00BB21AF">
            <w:pPr>
              <w:rPr>
                <w:b/>
                <w:sz w:val="22"/>
                <w:szCs w:val="22"/>
              </w:rPr>
            </w:pPr>
            <w:r w:rsidRPr="00B9405E">
              <w:rPr>
                <w:b/>
                <w:sz w:val="22"/>
                <w:szCs w:val="22"/>
              </w:rPr>
              <w:t>2011</w:t>
            </w:r>
          </w:p>
        </w:tc>
        <w:tc>
          <w:tcPr>
            <w:tcW w:w="1559" w:type="dxa"/>
            <w:shd w:val="clear" w:color="auto" w:fill="FFFF00"/>
          </w:tcPr>
          <w:p w14:paraId="7890375F" w14:textId="0F6992E6" w:rsidR="00BB21AF" w:rsidRPr="00B9405E" w:rsidRDefault="00BB21AF">
            <w:pPr>
              <w:rPr>
                <w:b/>
                <w:sz w:val="22"/>
                <w:szCs w:val="22"/>
              </w:rPr>
            </w:pPr>
            <w:r w:rsidRPr="00B9405E">
              <w:rPr>
                <w:b/>
                <w:sz w:val="22"/>
                <w:szCs w:val="22"/>
              </w:rPr>
              <w:t>Mayo 2013</w:t>
            </w:r>
          </w:p>
        </w:tc>
        <w:tc>
          <w:tcPr>
            <w:tcW w:w="1843" w:type="dxa"/>
            <w:shd w:val="clear" w:color="auto" w:fill="FFFF00"/>
          </w:tcPr>
          <w:p w14:paraId="2183248E" w14:textId="20714C50" w:rsidR="00BB21AF" w:rsidRPr="00B9405E" w:rsidRDefault="00BB21AF">
            <w:pPr>
              <w:rPr>
                <w:b/>
                <w:sz w:val="22"/>
                <w:szCs w:val="22"/>
              </w:rPr>
            </w:pPr>
            <w:r>
              <w:rPr>
                <w:b/>
                <w:sz w:val="22"/>
                <w:szCs w:val="22"/>
              </w:rPr>
              <w:t>Mayo 2015</w:t>
            </w:r>
          </w:p>
        </w:tc>
        <w:tc>
          <w:tcPr>
            <w:tcW w:w="1843" w:type="dxa"/>
            <w:shd w:val="clear" w:color="auto" w:fill="FFFF00"/>
          </w:tcPr>
          <w:p w14:paraId="0922E806" w14:textId="5788721F" w:rsidR="00BB21AF" w:rsidRDefault="00BB21AF">
            <w:pPr>
              <w:rPr>
                <w:b/>
                <w:sz w:val="22"/>
                <w:szCs w:val="22"/>
              </w:rPr>
            </w:pPr>
            <w:r w:rsidRPr="00B9405E">
              <w:rPr>
                <w:b/>
                <w:sz w:val="22"/>
                <w:szCs w:val="22"/>
              </w:rPr>
              <w:t>Noviembre 2016</w:t>
            </w:r>
          </w:p>
        </w:tc>
        <w:tc>
          <w:tcPr>
            <w:tcW w:w="1701" w:type="dxa"/>
            <w:shd w:val="clear" w:color="auto" w:fill="FFFF00"/>
          </w:tcPr>
          <w:p w14:paraId="6A435F35" w14:textId="3A989D37" w:rsidR="00BB21AF" w:rsidRDefault="00BB21AF">
            <w:pPr>
              <w:rPr>
                <w:b/>
                <w:sz w:val="22"/>
                <w:szCs w:val="22"/>
              </w:rPr>
            </w:pPr>
            <w:r w:rsidRPr="00B9405E">
              <w:rPr>
                <w:b/>
                <w:sz w:val="22"/>
                <w:szCs w:val="22"/>
              </w:rPr>
              <w:t>Noviembre 2016</w:t>
            </w:r>
          </w:p>
        </w:tc>
        <w:tc>
          <w:tcPr>
            <w:tcW w:w="1701" w:type="dxa"/>
            <w:shd w:val="clear" w:color="auto" w:fill="FFFF00"/>
          </w:tcPr>
          <w:p w14:paraId="65A72D28" w14:textId="04D0AD29" w:rsidR="00BB21AF" w:rsidRDefault="00BB21AF">
            <w:pPr>
              <w:rPr>
                <w:b/>
                <w:sz w:val="22"/>
                <w:szCs w:val="22"/>
              </w:rPr>
            </w:pPr>
            <w:r>
              <w:rPr>
                <w:b/>
                <w:sz w:val="22"/>
                <w:szCs w:val="22"/>
              </w:rPr>
              <w:t>2017</w:t>
            </w:r>
          </w:p>
        </w:tc>
      </w:tr>
      <w:tr w:rsidR="00BC4D82" w:rsidRPr="00B9405E" w14:paraId="415675C4" w14:textId="1CCC5F09" w:rsidTr="00BC4D82">
        <w:trPr>
          <w:trHeight w:val="1012"/>
        </w:trPr>
        <w:tc>
          <w:tcPr>
            <w:tcW w:w="1701" w:type="dxa"/>
            <w:vMerge w:val="restart"/>
          </w:tcPr>
          <w:p w14:paraId="4A161F82" w14:textId="0A3DAFD9" w:rsidR="00BC4D82" w:rsidRPr="00B9405E" w:rsidRDefault="00BC4D82" w:rsidP="00350CAD">
            <w:r>
              <w:t>Objetivos /actividades que financia</w:t>
            </w:r>
          </w:p>
        </w:tc>
        <w:tc>
          <w:tcPr>
            <w:tcW w:w="2127" w:type="dxa"/>
          </w:tcPr>
          <w:p w14:paraId="1F75D293" w14:textId="449FC0E0" w:rsidR="00BC4D82" w:rsidRPr="00BC4D82" w:rsidRDefault="00BC4D82" w:rsidP="00BB21AF">
            <w:r w:rsidRPr="00BC4D82">
              <w:t xml:space="preserve">Financia </w:t>
            </w:r>
            <w:r w:rsidRPr="00BC4D82">
              <w:t>Capacitación al Ministerio de Educación para mejorar las habilidades técnicas y de gestión</w:t>
            </w:r>
          </w:p>
        </w:tc>
        <w:tc>
          <w:tcPr>
            <w:tcW w:w="1559" w:type="dxa"/>
          </w:tcPr>
          <w:p w14:paraId="64BC9BF7" w14:textId="2A18E9DD" w:rsidR="00BC4D82" w:rsidRPr="00B9405E" w:rsidRDefault="00BC4D82" w:rsidP="003164E6">
            <w:r w:rsidRPr="00B9405E">
              <w:t xml:space="preserve"> Financia mejora de gestión en los propios centros educativos.</w:t>
            </w:r>
          </w:p>
        </w:tc>
        <w:tc>
          <w:tcPr>
            <w:tcW w:w="1559" w:type="dxa"/>
          </w:tcPr>
          <w:p w14:paraId="72564F51" w14:textId="727DCC85" w:rsidR="00BC4D82" w:rsidRPr="00B9405E" w:rsidRDefault="00BC4D82" w:rsidP="00E862B3">
            <w:r w:rsidRPr="00B9405E">
              <w:t>Continuará financiando manuales de elegibilidad docente. (p.11)</w:t>
            </w:r>
          </w:p>
        </w:tc>
        <w:tc>
          <w:tcPr>
            <w:tcW w:w="1843" w:type="dxa"/>
          </w:tcPr>
          <w:p w14:paraId="7034E1D3" w14:textId="77777777" w:rsidR="00BC4D82" w:rsidRPr="007B5781" w:rsidRDefault="00BC4D82" w:rsidP="00E862B3">
            <w:pPr>
              <w:rPr>
                <w:sz w:val="20"/>
                <w:szCs w:val="20"/>
              </w:rPr>
            </w:pPr>
            <w:r>
              <w:t xml:space="preserve"> </w:t>
            </w:r>
            <w:r w:rsidRPr="007B5781">
              <w:rPr>
                <w:sz w:val="20"/>
                <w:szCs w:val="20"/>
              </w:rPr>
              <w:t>SUBPROGRAMAS:</w:t>
            </w:r>
          </w:p>
          <w:p w14:paraId="46BBBA03" w14:textId="77777777" w:rsidR="00BC4D82" w:rsidRDefault="00BC4D82" w:rsidP="00E862B3">
            <w:r>
              <w:t>Mejoramiento del Sistema Educativo.</w:t>
            </w:r>
          </w:p>
          <w:p w14:paraId="03A6F746" w14:textId="4340E8A7" w:rsidR="00BC4D82" w:rsidRPr="00B9405E" w:rsidRDefault="00BC4D82" w:rsidP="00E862B3">
            <w:r>
              <w:t xml:space="preserve"> Expansión de la infraestructura educativa</w:t>
            </w:r>
          </w:p>
        </w:tc>
        <w:tc>
          <w:tcPr>
            <w:tcW w:w="1843" w:type="dxa"/>
          </w:tcPr>
          <w:p w14:paraId="7E4032E8" w14:textId="2AFFFE73" w:rsidR="00BC4D82" w:rsidRDefault="00BC4D82" w:rsidP="00BC4D82">
            <w:r w:rsidRPr="00B9405E">
              <w:rPr>
                <w:sz w:val="22"/>
                <w:szCs w:val="22"/>
              </w:rPr>
              <w:t xml:space="preserve">Menciona la gestión a través de </w:t>
            </w:r>
            <w:bookmarkStart w:id="0" w:name="_GoBack"/>
            <w:bookmarkEnd w:id="0"/>
            <w:r w:rsidRPr="00B9405E">
              <w:rPr>
                <w:sz w:val="22"/>
                <w:szCs w:val="22"/>
              </w:rPr>
              <w:t xml:space="preserve">programas </w:t>
            </w:r>
            <w:proofErr w:type="spellStart"/>
            <w:r w:rsidRPr="00B9405E">
              <w:rPr>
                <w:sz w:val="22"/>
                <w:szCs w:val="22"/>
              </w:rPr>
              <w:t>Scholars</w:t>
            </w:r>
            <w:proofErr w:type="spellEnd"/>
            <w:r w:rsidRPr="00B9405E">
              <w:rPr>
                <w:sz w:val="22"/>
                <w:szCs w:val="22"/>
              </w:rPr>
              <w:t xml:space="preserve"> </w:t>
            </w:r>
            <w:proofErr w:type="spellStart"/>
            <w:r w:rsidRPr="00B9405E">
              <w:rPr>
                <w:sz w:val="22"/>
                <w:szCs w:val="22"/>
              </w:rPr>
              <w:t>Ocurrents</w:t>
            </w:r>
            <w:proofErr w:type="spellEnd"/>
            <w:r w:rsidRPr="00B9405E">
              <w:rPr>
                <w:sz w:val="22"/>
                <w:szCs w:val="22"/>
              </w:rPr>
              <w:t xml:space="preserve"> y </w:t>
            </w:r>
            <w:proofErr w:type="spellStart"/>
            <w:r w:rsidRPr="00B9405E">
              <w:rPr>
                <w:sz w:val="22"/>
                <w:szCs w:val="22"/>
              </w:rPr>
              <w:t>Scholars</w:t>
            </w:r>
            <w:proofErr w:type="spellEnd"/>
            <w:r w:rsidRPr="00B9405E">
              <w:rPr>
                <w:sz w:val="22"/>
                <w:szCs w:val="22"/>
              </w:rPr>
              <w:t xml:space="preserve"> Ciudadanas en Argentina y Paraguay</w:t>
            </w:r>
          </w:p>
        </w:tc>
        <w:tc>
          <w:tcPr>
            <w:tcW w:w="1701" w:type="dxa"/>
          </w:tcPr>
          <w:p w14:paraId="16135185" w14:textId="0BD42B8A" w:rsidR="00BC4D82" w:rsidRPr="00B9405E" w:rsidRDefault="00BC4D82" w:rsidP="00E862B3">
            <w:pPr>
              <w:rPr>
                <w:sz w:val="22"/>
                <w:szCs w:val="22"/>
              </w:rPr>
            </w:pPr>
            <w:r w:rsidRPr="00B9405E">
              <w:t>“Financia diálogo”</w:t>
            </w:r>
          </w:p>
        </w:tc>
        <w:tc>
          <w:tcPr>
            <w:tcW w:w="1701" w:type="dxa"/>
          </w:tcPr>
          <w:p w14:paraId="0FA3B6FA" w14:textId="77777777" w:rsidR="00BC4D82" w:rsidRPr="00B9405E" w:rsidRDefault="00BC4D82" w:rsidP="00E862B3">
            <w:pPr>
              <w:rPr>
                <w:sz w:val="22"/>
                <w:szCs w:val="22"/>
              </w:rPr>
            </w:pPr>
          </w:p>
        </w:tc>
      </w:tr>
      <w:tr w:rsidR="00BC4D82" w:rsidRPr="00B9405E" w14:paraId="29B89429" w14:textId="684B9A07" w:rsidTr="00BC4D82">
        <w:trPr>
          <w:trHeight w:val="755"/>
        </w:trPr>
        <w:tc>
          <w:tcPr>
            <w:tcW w:w="1701" w:type="dxa"/>
            <w:vMerge/>
          </w:tcPr>
          <w:p w14:paraId="2CF0C8E1" w14:textId="77DA869E" w:rsidR="00BC4D82" w:rsidRPr="00B9405E" w:rsidRDefault="00BC4D82"/>
        </w:tc>
        <w:tc>
          <w:tcPr>
            <w:tcW w:w="2127" w:type="dxa"/>
          </w:tcPr>
          <w:p w14:paraId="7E4FA240" w14:textId="156B5682" w:rsidR="00BC4D82" w:rsidRPr="00BC4D82" w:rsidRDefault="00BC4D82" w:rsidP="00BB21AF">
            <w:r w:rsidRPr="00BC4D82">
              <w:t>Hace mención directa a contratación de consultorías privadas</w:t>
            </w:r>
          </w:p>
        </w:tc>
        <w:tc>
          <w:tcPr>
            <w:tcW w:w="1559" w:type="dxa"/>
          </w:tcPr>
          <w:p w14:paraId="63E53169" w14:textId="55FB013F" w:rsidR="00BC4D82" w:rsidRPr="00BC4D82" w:rsidRDefault="00BC4D82" w:rsidP="00BB21AF">
            <w:r w:rsidRPr="00BC4D82">
              <w:t xml:space="preserve">Hace mención directa a contratación de consultorías </w:t>
            </w:r>
            <w:r w:rsidRPr="00BC4D82">
              <w:lastRenderedPageBreak/>
              <w:t>privadas</w:t>
            </w:r>
          </w:p>
        </w:tc>
        <w:tc>
          <w:tcPr>
            <w:tcW w:w="1559" w:type="dxa"/>
          </w:tcPr>
          <w:p w14:paraId="771CEECB" w14:textId="196BBC69" w:rsidR="00BC4D82" w:rsidRPr="00BC4D82" w:rsidRDefault="00BC4D82" w:rsidP="00BB21AF">
            <w:r w:rsidRPr="00BC4D82">
              <w:lastRenderedPageBreak/>
              <w:t xml:space="preserve">Hace mención directa a contratación de consultorías </w:t>
            </w:r>
            <w:r w:rsidRPr="00BC4D82">
              <w:lastRenderedPageBreak/>
              <w:t>privadas</w:t>
            </w:r>
          </w:p>
        </w:tc>
        <w:tc>
          <w:tcPr>
            <w:tcW w:w="1843" w:type="dxa"/>
          </w:tcPr>
          <w:p w14:paraId="51C41735" w14:textId="5527B88C" w:rsidR="00BC4D82" w:rsidRPr="00BC4D82" w:rsidRDefault="00BC4D82" w:rsidP="00BB21AF">
            <w:r w:rsidRPr="00BC4D82">
              <w:lastRenderedPageBreak/>
              <w:t>Hace mención directa a contratación de consultorías privadas</w:t>
            </w:r>
          </w:p>
        </w:tc>
        <w:tc>
          <w:tcPr>
            <w:tcW w:w="1843" w:type="dxa"/>
          </w:tcPr>
          <w:p w14:paraId="641131BE" w14:textId="6FDFB9BC" w:rsidR="00BC4D82" w:rsidRPr="00BC4D82" w:rsidRDefault="00BC4D82" w:rsidP="00BB21AF">
            <w:r w:rsidRPr="00BC4D82">
              <w:t>Hace mención directa a contratación de consultorías privadas</w:t>
            </w:r>
          </w:p>
        </w:tc>
        <w:tc>
          <w:tcPr>
            <w:tcW w:w="1701" w:type="dxa"/>
          </w:tcPr>
          <w:p w14:paraId="58898963" w14:textId="74E54A32" w:rsidR="00BC4D82" w:rsidRPr="00BC4D82" w:rsidRDefault="00BC4D82" w:rsidP="00BB21AF">
            <w:r w:rsidRPr="00BC4D82">
              <w:t>Hace mención directa a contratación de consultorías privadas</w:t>
            </w:r>
          </w:p>
        </w:tc>
        <w:tc>
          <w:tcPr>
            <w:tcW w:w="1701" w:type="dxa"/>
          </w:tcPr>
          <w:p w14:paraId="5CF1233B" w14:textId="1B5C4565" w:rsidR="00BC4D82" w:rsidRPr="00BC4D82" w:rsidRDefault="00BC4D82" w:rsidP="00BB21AF">
            <w:r w:rsidRPr="00BC4D82">
              <w:t>Hace mención directa a contratación de consultorías privadas</w:t>
            </w:r>
          </w:p>
        </w:tc>
      </w:tr>
      <w:tr w:rsidR="00BC4D82" w:rsidRPr="00BC4D82" w14:paraId="49F8E0A4" w14:textId="19CA143B" w:rsidTr="00BC4D82">
        <w:trPr>
          <w:trHeight w:val="1511"/>
        </w:trPr>
        <w:tc>
          <w:tcPr>
            <w:tcW w:w="1701" w:type="dxa"/>
            <w:vMerge/>
          </w:tcPr>
          <w:p w14:paraId="545FACB0" w14:textId="31686CBB" w:rsidR="00BC4D82" w:rsidRPr="00B9405E" w:rsidRDefault="00BC4D82">
            <w:pPr>
              <w:rPr>
                <w:b/>
              </w:rPr>
            </w:pPr>
          </w:p>
        </w:tc>
        <w:tc>
          <w:tcPr>
            <w:tcW w:w="2127" w:type="dxa"/>
          </w:tcPr>
          <w:p w14:paraId="1E95E6A7" w14:textId="0E201FF9" w:rsidR="00BC4D82" w:rsidRPr="00BC4D82" w:rsidRDefault="00BC4D82">
            <w:r w:rsidRPr="00BC4D82">
              <w:t>Hace mención a financiar participación en prueba PISA u otras pruebas internacionales</w:t>
            </w:r>
          </w:p>
        </w:tc>
        <w:tc>
          <w:tcPr>
            <w:tcW w:w="1559" w:type="dxa"/>
          </w:tcPr>
          <w:p w14:paraId="663AAA90" w14:textId="77777777" w:rsidR="00BC4D82" w:rsidRPr="00BC4D82" w:rsidRDefault="00BC4D82"/>
        </w:tc>
        <w:tc>
          <w:tcPr>
            <w:tcW w:w="1559" w:type="dxa"/>
          </w:tcPr>
          <w:p w14:paraId="5C073E79" w14:textId="6AA565AE" w:rsidR="00BC4D82" w:rsidRPr="00BC4D82" w:rsidRDefault="00BC4D82"/>
        </w:tc>
        <w:tc>
          <w:tcPr>
            <w:tcW w:w="1843" w:type="dxa"/>
          </w:tcPr>
          <w:p w14:paraId="2A4F25C5" w14:textId="77777777" w:rsidR="00BC4D82" w:rsidRPr="00BC4D82" w:rsidRDefault="00BC4D82"/>
        </w:tc>
        <w:tc>
          <w:tcPr>
            <w:tcW w:w="1843" w:type="dxa"/>
          </w:tcPr>
          <w:p w14:paraId="70564CEF" w14:textId="77777777" w:rsidR="00BC4D82" w:rsidRPr="00BC4D82" w:rsidRDefault="00BC4D82"/>
        </w:tc>
        <w:tc>
          <w:tcPr>
            <w:tcW w:w="1701" w:type="dxa"/>
          </w:tcPr>
          <w:p w14:paraId="55C8CF55" w14:textId="77777777" w:rsidR="00BC4D82" w:rsidRPr="00BC4D82" w:rsidRDefault="00BC4D82"/>
        </w:tc>
        <w:tc>
          <w:tcPr>
            <w:tcW w:w="1701" w:type="dxa"/>
          </w:tcPr>
          <w:p w14:paraId="47029BC2" w14:textId="77777777" w:rsidR="00BC4D82" w:rsidRPr="00BC4D82" w:rsidRDefault="00BC4D82"/>
        </w:tc>
      </w:tr>
      <w:tr w:rsidR="00BC4D82" w:rsidRPr="00BC4D82" w14:paraId="5E7B2440" w14:textId="05843D6D" w:rsidTr="00BC4D82">
        <w:trPr>
          <w:trHeight w:val="755"/>
        </w:trPr>
        <w:tc>
          <w:tcPr>
            <w:tcW w:w="1701" w:type="dxa"/>
            <w:vMerge/>
          </w:tcPr>
          <w:p w14:paraId="2918A92F" w14:textId="423AB1F9" w:rsidR="00BC4D82" w:rsidRPr="00B9405E" w:rsidRDefault="00BC4D82"/>
        </w:tc>
        <w:tc>
          <w:tcPr>
            <w:tcW w:w="2127" w:type="dxa"/>
          </w:tcPr>
          <w:p w14:paraId="5CF9018C" w14:textId="2CE9A186" w:rsidR="00BC4D82" w:rsidRPr="00BC4D82" w:rsidRDefault="00BC4D82" w:rsidP="00BB21AF">
            <w:r w:rsidRPr="00BC4D82">
              <w:t>Financia temas relativos a evaluación docente</w:t>
            </w:r>
            <w:r w:rsidRPr="00BC4D82">
              <w:t xml:space="preserve"> </w:t>
            </w:r>
          </w:p>
        </w:tc>
        <w:tc>
          <w:tcPr>
            <w:tcW w:w="1559" w:type="dxa"/>
          </w:tcPr>
          <w:p w14:paraId="7D2C51D1" w14:textId="77777777" w:rsidR="00BC4D82" w:rsidRPr="00BC4D82" w:rsidRDefault="00BC4D82" w:rsidP="0047131A"/>
        </w:tc>
        <w:tc>
          <w:tcPr>
            <w:tcW w:w="1559" w:type="dxa"/>
          </w:tcPr>
          <w:p w14:paraId="6D6BC687" w14:textId="73AE34CB" w:rsidR="00BC4D82" w:rsidRPr="00BC4D82" w:rsidRDefault="00BC4D82" w:rsidP="0047131A">
            <w:r w:rsidRPr="00BC4D82">
              <w:t xml:space="preserve"> </w:t>
            </w:r>
          </w:p>
        </w:tc>
        <w:tc>
          <w:tcPr>
            <w:tcW w:w="1843" w:type="dxa"/>
          </w:tcPr>
          <w:p w14:paraId="024CD745" w14:textId="334659A3" w:rsidR="00BC4D82" w:rsidRPr="00BC4D82" w:rsidRDefault="00BC4D82" w:rsidP="006A0AAA">
            <w:r w:rsidRPr="00BC4D82">
              <w:t>Financia temas relativos a evaluación docente Financia uso adecuado de la información de desempeño para la toma de decisiones. Financia modificación a carrera docente</w:t>
            </w:r>
          </w:p>
        </w:tc>
        <w:tc>
          <w:tcPr>
            <w:tcW w:w="1843" w:type="dxa"/>
          </w:tcPr>
          <w:p w14:paraId="5543B588" w14:textId="77777777" w:rsidR="00BC4D82" w:rsidRPr="00BC4D82" w:rsidRDefault="00BC4D82" w:rsidP="006A0AAA"/>
        </w:tc>
        <w:tc>
          <w:tcPr>
            <w:tcW w:w="1701" w:type="dxa"/>
          </w:tcPr>
          <w:p w14:paraId="502EFBBC" w14:textId="6CBBEF24" w:rsidR="00BC4D82" w:rsidRPr="00BC4D82" w:rsidRDefault="00BC4D82" w:rsidP="00BB21AF">
            <w:r w:rsidRPr="00BC4D82">
              <w:t xml:space="preserve"> </w:t>
            </w:r>
          </w:p>
        </w:tc>
        <w:tc>
          <w:tcPr>
            <w:tcW w:w="1701" w:type="dxa"/>
          </w:tcPr>
          <w:p w14:paraId="0401ADAC" w14:textId="77777777" w:rsidR="00BC4D82" w:rsidRPr="00BC4D82" w:rsidRDefault="00BC4D82" w:rsidP="006A0AAA"/>
        </w:tc>
      </w:tr>
      <w:tr w:rsidR="00BC4D82" w:rsidRPr="00BC4D82" w14:paraId="2DE06ED7" w14:textId="3D1F50F4" w:rsidTr="00BC4D82">
        <w:trPr>
          <w:trHeight w:val="869"/>
        </w:trPr>
        <w:tc>
          <w:tcPr>
            <w:tcW w:w="1701" w:type="dxa"/>
            <w:vMerge/>
          </w:tcPr>
          <w:p w14:paraId="352A9AF8" w14:textId="1D96ACF7" w:rsidR="00BC4D82" w:rsidRPr="00B9405E" w:rsidRDefault="00BC4D82"/>
        </w:tc>
        <w:tc>
          <w:tcPr>
            <w:tcW w:w="2127" w:type="dxa"/>
          </w:tcPr>
          <w:p w14:paraId="12BD93F5" w14:textId="38764DBB" w:rsidR="00BC4D82" w:rsidRPr="00BC4D82" w:rsidRDefault="00BC4D82">
            <w:r w:rsidRPr="00BC4D82">
              <w:t>Financia formación docente</w:t>
            </w:r>
          </w:p>
        </w:tc>
        <w:tc>
          <w:tcPr>
            <w:tcW w:w="1559" w:type="dxa"/>
          </w:tcPr>
          <w:p w14:paraId="7ED31101" w14:textId="77777777" w:rsidR="00BC4D82" w:rsidRPr="00BC4D82" w:rsidRDefault="00BC4D82"/>
        </w:tc>
        <w:tc>
          <w:tcPr>
            <w:tcW w:w="1559" w:type="dxa"/>
          </w:tcPr>
          <w:p w14:paraId="25362227" w14:textId="284BCBB8" w:rsidR="00BC4D82" w:rsidRPr="00BC4D82" w:rsidRDefault="00BC4D82"/>
        </w:tc>
        <w:tc>
          <w:tcPr>
            <w:tcW w:w="1843" w:type="dxa"/>
          </w:tcPr>
          <w:p w14:paraId="526D7BC1" w14:textId="77777777" w:rsidR="00BC4D82" w:rsidRPr="00BC4D82" w:rsidRDefault="00BC4D82"/>
        </w:tc>
        <w:tc>
          <w:tcPr>
            <w:tcW w:w="1843" w:type="dxa"/>
          </w:tcPr>
          <w:p w14:paraId="610D9387" w14:textId="77777777" w:rsidR="00BC4D82" w:rsidRPr="00BC4D82" w:rsidRDefault="00BC4D82"/>
        </w:tc>
        <w:tc>
          <w:tcPr>
            <w:tcW w:w="1701" w:type="dxa"/>
          </w:tcPr>
          <w:p w14:paraId="78D5D3F8" w14:textId="77777777" w:rsidR="00BC4D82" w:rsidRPr="00BC4D82" w:rsidRDefault="00BC4D82"/>
        </w:tc>
        <w:tc>
          <w:tcPr>
            <w:tcW w:w="1701" w:type="dxa"/>
          </w:tcPr>
          <w:p w14:paraId="22CF7D2E" w14:textId="77777777" w:rsidR="00BC4D82" w:rsidRPr="00BC4D82" w:rsidRDefault="00BC4D82"/>
        </w:tc>
      </w:tr>
      <w:tr w:rsidR="00BC4D82" w:rsidRPr="00BC4D82" w14:paraId="4EB26102" w14:textId="1D57D3A7" w:rsidTr="00BC4D82">
        <w:trPr>
          <w:trHeight w:val="659"/>
        </w:trPr>
        <w:tc>
          <w:tcPr>
            <w:tcW w:w="1701" w:type="dxa"/>
            <w:vMerge/>
          </w:tcPr>
          <w:p w14:paraId="1608FCDC" w14:textId="023751FE" w:rsidR="00BC4D82" w:rsidRPr="00B9405E" w:rsidRDefault="00BC4D82"/>
        </w:tc>
        <w:tc>
          <w:tcPr>
            <w:tcW w:w="2127" w:type="dxa"/>
          </w:tcPr>
          <w:p w14:paraId="2CCC1ABC" w14:textId="06A30021" w:rsidR="00BC4D82" w:rsidRPr="00BC4D82" w:rsidRDefault="00BC4D82" w:rsidP="001523C5">
            <w:r w:rsidRPr="00BC4D82">
              <w:t>Financia temas relativos a cobertura en primaria y secundaria</w:t>
            </w:r>
            <w:r w:rsidRPr="00BC4D82">
              <w:t xml:space="preserve"> Financió cobertura en primera infancia y jornada ampliada en primaria.</w:t>
            </w:r>
          </w:p>
        </w:tc>
        <w:tc>
          <w:tcPr>
            <w:tcW w:w="1559" w:type="dxa"/>
          </w:tcPr>
          <w:p w14:paraId="7987CB59" w14:textId="2DFD4079" w:rsidR="00BC4D82" w:rsidRPr="00BC4D82" w:rsidRDefault="00BC4D82" w:rsidP="00BB21AF">
            <w:r w:rsidRPr="00BC4D82">
              <w:t>Financia temas relativos a cobertura en primaria y secundaria</w:t>
            </w:r>
          </w:p>
        </w:tc>
        <w:tc>
          <w:tcPr>
            <w:tcW w:w="1559" w:type="dxa"/>
          </w:tcPr>
          <w:p w14:paraId="4199D486" w14:textId="394CDBCF" w:rsidR="00BC4D82" w:rsidRPr="00BC4D82" w:rsidRDefault="00BC4D82" w:rsidP="00BB21AF">
            <w:r w:rsidRPr="00BC4D82">
              <w:t>Financia temas relativos a cobertura en primaria y secundaria</w:t>
            </w:r>
          </w:p>
        </w:tc>
        <w:tc>
          <w:tcPr>
            <w:tcW w:w="1843" w:type="dxa"/>
          </w:tcPr>
          <w:p w14:paraId="7C4F7298" w14:textId="39C66076" w:rsidR="00BC4D82" w:rsidRPr="00BC4D82" w:rsidRDefault="00BC4D82" w:rsidP="00BB21AF">
            <w:r w:rsidRPr="00BC4D82">
              <w:t>Financia temas relativos a cobertura en primaria y secundaria</w:t>
            </w:r>
          </w:p>
        </w:tc>
        <w:tc>
          <w:tcPr>
            <w:tcW w:w="1843" w:type="dxa"/>
          </w:tcPr>
          <w:p w14:paraId="4870DB35" w14:textId="70D8543A" w:rsidR="00BC4D82" w:rsidRPr="00BC4D82" w:rsidRDefault="00BC4D82" w:rsidP="00BB21AF">
            <w:r w:rsidRPr="00BC4D82">
              <w:t>Financia temas relativos a cobertura en primaria y secundaria</w:t>
            </w:r>
          </w:p>
        </w:tc>
        <w:tc>
          <w:tcPr>
            <w:tcW w:w="1701" w:type="dxa"/>
          </w:tcPr>
          <w:p w14:paraId="1900594E" w14:textId="532FCCDD" w:rsidR="00BC4D82" w:rsidRPr="00BC4D82" w:rsidRDefault="00BC4D82" w:rsidP="00BB21AF">
            <w:r w:rsidRPr="00BC4D82">
              <w:t>Financia temas relativos a cobertura en primaria y secundaria</w:t>
            </w:r>
          </w:p>
        </w:tc>
        <w:tc>
          <w:tcPr>
            <w:tcW w:w="1701" w:type="dxa"/>
          </w:tcPr>
          <w:p w14:paraId="236703EB" w14:textId="5C9FD19D" w:rsidR="00BC4D82" w:rsidRPr="00BC4D82" w:rsidRDefault="00BC4D82" w:rsidP="00BB21AF">
            <w:pPr>
              <w:ind w:left="360"/>
            </w:pPr>
            <w:r w:rsidRPr="00BC4D82">
              <w:t>Financia temas relativos a cobertura en primaria y secundaria</w:t>
            </w:r>
          </w:p>
        </w:tc>
      </w:tr>
      <w:tr w:rsidR="00BC4D82" w:rsidRPr="00BC4D82" w14:paraId="7668ADEF" w14:textId="5F7A95F9" w:rsidTr="00BC4D82">
        <w:trPr>
          <w:trHeight w:val="1087"/>
        </w:trPr>
        <w:tc>
          <w:tcPr>
            <w:tcW w:w="1701" w:type="dxa"/>
          </w:tcPr>
          <w:p w14:paraId="307DA506" w14:textId="0612C1AD" w:rsidR="00BB21AF" w:rsidRPr="00B9405E" w:rsidRDefault="00BB21AF" w:rsidP="00451FC9"/>
        </w:tc>
        <w:tc>
          <w:tcPr>
            <w:tcW w:w="2127" w:type="dxa"/>
          </w:tcPr>
          <w:p w14:paraId="4E8C8833" w14:textId="189CBEE6" w:rsidR="00BB21AF" w:rsidRPr="00BC4D82" w:rsidRDefault="00BC4D82">
            <w:r w:rsidRPr="00BC4D82">
              <w:t>Financia implementación de metodologías educativas</w:t>
            </w:r>
          </w:p>
        </w:tc>
        <w:tc>
          <w:tcPr>
            <w:tcW w:w="1559" w:type="dxa"/>
          </w:tcPr>
          <w:p w14:paraId="7B8FCD10" w14:textId="77777777" w:rsidR="00BB21AF" w:rsidRPr="00BC4D82" w:rsidRDefault="00BB21AF"/>
        </w:tc>
        <w:tc>
          <w:tcPr>
            <w:tcW w:w="1559" w:type="dxa"/>
          </w:tcPr>
          <w:p w14:paraId="16EABEAF" w14:textId="69910593" w:rsidR="00BB21AF" w:rsidRPr="00BC4D82" w:rsidRDefault="00BB21AF"/>
        </w:tc>
        <w:tc>
          <w:tcPr>
            <w:tcW w:w="1843" w:type="dxa"/>
          </w:tcPr>
          <w:p w14:paraId="174D6141" w14:textId="77777777" w:rsidR="00BB21AF" w:rsidRPr="00BC4D82" w:rsidRDefault="00BB21AF"/>
        </w:tc>
        <w:tc>
          <w:tcPr>
            <w:tcW w:w="1843" w:type="dxa"/>
          </w:tcPr>
          <w:p w14:paraId="219D5EC7" w14:textId="77777777" w:rsidR="00BB21AF" w:rsidRPr="00BC4D82" w:rsidRDefault="00BB21AF"/>
        </w:tc>
        <w:tc>
          <w:tcPr>
            <w:tcW w:w="1701" w:type="dxa"/>
          </w:tcPr>
          <w:p w14:paraId="5F720A2B" w14:textId="77777777" w:rsidR="00BB21AF" w:rsidRPr="00BC4D82" w:rsidRDefault="00BB21AF"/>
        </w:tc>
        <w:tc>
          <w:tcPr>
            <w:tcW w:w="1701" w:type="dxa"/>
          </w:tcPr>
          <w:p w14:paraId="31B10DBE" w14:textId="77777777" w:rsidR="00BB21AF" w:rsidRPr="00BC4D82" w:rsidRDefault="00BB21AF"/>
        </w:tc>
      </w:tr>
      <w:tr w:rsidR="00BC4D82" w:rsidRPr="00BC4D82" w14:paraId="261DE1E1" w14:textId="13F80FD0" w:rsidTr="00BC4D82">
        <w:trPr>
          <w:trHeight w:val="1087"/>
        </w:trPr>
        <w:tc>
          <w:tcPr>
            <w:tcW w:w="1701" w:type="dxa"/>
          </w:tcPr>
          <w:p w14:paraId="7FB110FE" w14:textId="751F0123" w:rsidR="00BB21AF" w:rsidRPr="00B9405E" w:rsidRDefault="00BB21AF" w:rsidP="00451FC9">
            <w:pPr>
              <w:rPr>
                <w:b/>
              </w:rPr>
            </w:pPr>
          </w:p>
        </w:tc>
        <w:tc>
          <w:tcPr>
            <w:tcW w:w="2127" w:type="dxa"/>
          </w:tcPr>
          <w:p w14:paraId="61BC4611" w14:textId="417B8E48" w:rsidR="00BB21AF" w:rsidRPr="00BC4D82" w:rsidRDefault="00BC4D82">
            <w:r w:rsidRPr="00BC4D82">
              <w:t>Financia infraestructura.</w:t>
            </w:r>
          </w:p>
        </w:tc>
        <w:tc>
          <w:tcPr>
            <w:tcW w:w="1559" w:type="dxa"/>
          </w:tcPr>
          <w:p w14:paraId="0ED8DC56" w14:textId="5C16137E" w:rsidR="00BB21AF" w:rsidRPr="00BC4D82" w:rsidRDefault="00BC4D82" w:rsidP="00BC4D82">
            <w:r w:rsidRPr="00BC4D82">
              <w:t>Financia infraestructura</w:t>
            </w:r>
          </w:p>
        </w:tc>
        <w:tc>
          <w:tcPr>
            <w:tcW w:w="1559" w:type="dxa"/>
          </w:tcPr>
          <w:p w14:paraId="308980C5" w14:textId="77777777" w:rsidR="00BB21AF" w:rsidRPr="00BC4D82" w:rsidRDefault="00BB21AF"/>
        </w:tc>
        <w:tc>
          <w:tcPr>
            <w:tcW w:w="1843" w:type="dxa"/>
          </w:tcPr>
          <w:p w14:paraId="167A6A91" w14:textId="0C2C04FD" w:rsidR="00BB21AF" w:rsidRPr="00BC4D82" w:rsidRDefault="00BC4D82" w:rsidP="00BC4D82">
            <w:r w:rsidRPr="00BC4D82">
              <w:t>Financia infraestructura</w:t>
            </w:r>
          </w:p>
        </w:tc>
        <w:tc>
          <w:tcPr>
            <w:tcW w:w="1843" w:type="dxa"/>
          </w:tcPr>
          <w:p w14:paraId="008B7C82" w14:textId="07D70751" w:rsidR="00BB21AF" w:rsidRPr="00BC4D82" w:rsidRDefault="00BC4D82" w:rsidP="00BC4D82">
            <w:r w:rsidRPr="00BC4D82">
              <w:t>Financia infraestructura</w:t>
            </w:r>
          </w:p>
        </w:tc>
        <w:tc>
          <w:tcPr>
            <w:tcW w:w="1701" w:type="dxa"/>
          </w:tcPr>
          <w:p w14:paraId="676DAB2F" w14:textId="2ABF8DB5" w:rsidR="00BB21AF" w:rsidRPr="00BC4D82" w:rsidRDefault="00BC4D82" w:rsidP="00BC4D82">
            <w:r w:rsidRPr="00BC4D82">
              <w:t>Financia infraestructura</w:t>
            </w:r>
          </w:p>
        </w:tc>
        <w:tc>
          <w:tcPr>
            <w:tcW w:w="1701" w:type="dxa"/>
          </w:tcPr>
          <w:p w14:paraId="06CB480D" w14:textId="7174ABC7" w:rsidR="00BB21AF" w:rsidRPr="00BC4D82" w:rsidRDefault="00BC4D82" w:rsidP="00BC4D82">
            <w:r w:rsidRPr="00BC4D82">
              <w:t>Financia infraestructura</w:t>
            </w:r>
          </w:p>
        </w:tc>
      </w:tr>
      <w:tr w:rsidR="00BC4D82" w:rsidRPr="00BC4D82" w14:paraId="57F4C2BA" w14:textId="02EE6D45" w:rsidTr="00BC4D82">
        <w:trPr>
          <w:trHeight w:val="626"/>
        </w:trPr>
        <w:tc>
          <w:tcPr>
            <w:tcW w:w="1701" w:type="dxa"/>
          </w:tcPr>
          <w:p w14:paraId="3D9F2D47" w14:textId="0B0D68F0" w:rsidR="00BB21AF" w:rsidRPr="00B9405E" w:rsidRDefault="00BB21AF" w:rsidP="00451FC9"/>
        </w:tc>
        <w:tc>
          <w:tcPr>
            <w:tcW w:w="2127" w:type="dxa"/>
          </w:tcPr>
          <w:p w14:paraId="6360DA67" w14:textId="1C7F85B3" w:rsidR="00BB21AF" w:rsidRPr="00BC4D82" w:rsidRDefault="00BC4D82">
            <w:r w:rsidRPr="00BC4D82">
              <w:t>Financia uso de tecnología  en aula</w:t>
            </w:r>
          </w:p>
        </w:tc>
        <w:tc>
          <w:tcPr>
            <w:tcW w:w="1559" w:type="dxa"/>
          </w:tcPr>
          <w:p w14:paraId="58F95A69" w14:textId="77777777" w:rsidR="00BB21AF" w:rsidRPr="00BC4D82" w:rsidRDefault="00BB21AF"/>
        </w:tc>
        <w:tc>
          <w:tcPr>
            <w:tcW w:w="1559" w:type="dxa"/>
          </w:tcPr>
          <w:p w14:paraId="3AF87868" w14:textId="56BAD7E5" w:rsidR="00BB21AF" w:rsidRPr="00BC4D82" w:rsidRDefault="00BB21AF"/>
        </w:tc>
        <w:tc>
          <w:tcPr>
            <w:tcW w:w="1843" w:type="dxa"/>
          </w:tcPr>
          <w:p w14:paraId="32869477" w14:textId="77777777" w:rsidR="00BB21AF" w:rsidRPr="00BC4D82" w:rsidRDefault="00BB21AF"/>
        </w:tc>
        <w:tc>
          <w:tcPr>
            <w:tcW w:w="1843" w:type="dxa"/>
          </w:tcPr>
          <w:p w14:paraId="2680D6CD" w14:textId="77777777" w:rsidR="00BB21AF" w:rsidRPr="00BC4D82" w:rsidRDefault="00BB21AF"/>
        </w:tc>
        <w:tc>
          <w:tcPr>
            <w:tcW w:w="1701" w:type="dxa"/>
          </w:tcPr>
          <w:p w14:paraId="26FAD56A" w14:textId="77777777" w:rsidR="00BB21AF" w:rsidRPr="00BC4D82" w:rsidRDefault="00BB21AF"/>
        </w:tc>
        <w:tc>
          <w:tcPr>
            <w:tcW w:w="1701" w:type="dxa"/>
          </w:tcPr>
          <w:p w14:paraId="3CD15795" w14:textId="77777777" w:rsidR="00BB21AF" w:rsidRPr="00BC4D82" w:rsidRDefault="00BB21AF"/>
        </w:tc>
      </w:tr>
    </w:tbl>
    <w:p w14:paraId="53D28C95" w14:textId="77777777" w:rsidR="00FF6600" w:rsidRPr="00B9405E" w:rsidRDefault="00FF6600" w:rsidP="00FF6600">
      <w:pPr>
        <w:jc w:val="both"/>
      </w:pPr>
    </w:p>
    <w:p w14:paraId="49B4A599" w14:textId="10B6B1F9" w:rsidR="00FF6600" w:rsidRPr="00B9405E" w:rsidRDefault="007B5781" w:rsidP="00FF6600">
      <w:pPr>
        <w:jc w:val="both"/>
      </w:pPr>
      <w:r>
        <w:t>*</w:t>
      </w:r>
      <w:r w:rsidR="00FF6600" w:rsidRPr="00B9405E">
        <w:t xml:space="preserve">En el caso del préstamo </w:t>
      </w:r>
      <w:r w:rsidR="00FF6600" w:rsidRPr="00B9405E">
        <w:rPr>
          <w:rFonts w:cs="Times"/>
          <w:color w:val="000000"/>
          <w:sz w:val="22"/>
          <w:szCs w:val="22"/>
          <w:lang w:val="es-ES"/>
        </w:rPr>
        <w:t>PROMEDU III, la ampliación en la cobertura es uno de los resultados esperados. Debe observarse los mecanismos para generar datos sobre cobertura. Siempre cabe la posibilidad de que los datos no sean coherentes con la realidad</w:t>
      </w:r>
    </w:p>
    <w:p w14:paraId="4B1C9FB9" w14:textId="2446750A" w:rsidR="00FF6600" w:rsidRPr="00B9405E" w:rsidRDefault="007B5781">
      <w:pPr>
        <w:jc w:val="both"/>
      </w:pPr>
      <w:r>
        <w:rPr>
          <w:b/>
        </w:rPr>
        <w:t>**</w:t>
      </w:r>
      <w:r w:rsidRPr="00B9405E">
        <w:rPr>
          <w:b/>
        </w:rPr>
        <w:t>PROMEDU IV</w:t>
      </w:r>
      <w:r>
        <w:rPr>
          <w:b/>
        </w:rPr>
        <w:t xml:space="preserve"> señala la capacitación técnica para un uso eficiente de la información sobre el desempeño.</w:t>
      </w:r>
    </w:p>
    <w:sectPr w:rsidR="00FF6600" w:rsidRPr="00B9405E" w:rsidSect="00ED206D">
      <w:pgSz w:w="15840" w:h="12240" w:orient="landscape"/>
      <w:pgMar w:top="1077" w:right="851"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CFE"/>
    <w:multiLevelType w:val="hybridMultilevel"/>
    <w:tmpl w:val="C68684A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B684F3F"/>
    <w:multiLevelType w:val="hybridMultilevel"/>
    <w:tmpl w:val="BF9C71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E9134F"/>
    <w:multiLevelType w:val="hybridMultilevel"/>
    <w:tmpl w:val="E30620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5B63A8"/>
    <w:multiLevelType w:val="hybridMultilevel"/>
    <w:tmpl w:val="E9B0BD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BA78FF"/>
    <w:multiLevelType w:val="hybridMultilevel"/>
    <w:tmpl w:val="86526678"/>
    <w:lvl w:ilvl="0" w:tplc="0C0A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505" w:hanging="360"/>
      </w:pPr>
      <w:rPr>
        <w:rFonts w:ascii="Courier New" w:hAnsi="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5">
    <w:nsid w:val="69930A2E"/>
    <w:multiLevelType w:val="hybridMultilevel"/>
    <w:tmpl w:val="609CBF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DE1359"/>
    <w:multiLevelType w:val="hybridMultilevel"/>
    <w:tmpl w:val="EBBC1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962C4B"/>
    <w:multiLevelType w:val="hybridMultilevel"/>
    <w:tmpl w:val="F182D3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FD5E6E"/>
    <w:multiLevelType w:val="hybridMultilevel"/>
    <w:tmpl w:val="304C59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00574F"/>
    <w:multiLevelType w:val="hybridMultilevel"/>
    <w:tmpl w:val="63BE03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2"/>
  </w:num>
  <w:num w:numId="6">
    <w:abstractNumId w:val="5"/>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51"/>
    <w:rsid w:val="00026884"/>
    <w:rsid w:val="000A166E"/>
    <w:rsid w:val="00146C2A"/>
    <w:rsid w:val="001523C5"/>
    <w:rsid w:val="0017771D"/>
    <w:rsid w:val="001863B8"/>
    <w:rsid w:val="001907B9"/>
    <w:rsid w:val="00210851"/>
    <w:rsid w:val="00247342"/>
    <w:rsid w:val="00251605"/>
    <w:rsid w:val="002E5A46"/>
    <w:rsid w:val="003164E6"/>
    <w:rsid w:val="00350CAD"/>
    <w:rsid w:val="00360C4B"/>
    <w:rsid w:val="003A7E8D"/>
    <w:rsid w:val="00426978"/>
    <w:rsid w:val="00451FC9"/>
    <w:rsid w:val="0047131A"/>
    <w:rsid w:val="00487844"/>
    <w:rsid w:val="00547FA4"/>
    <w:rsid w:val="005D5CC9"/>
    <w:rsid w:val="00600CB1"/>
    <w:rsid w:val="00671832"/>
    <w:rsid w:val="006A0AAA"/>
    <w:rsid w:val="006E11F4"/>
    <w:rsid w:val="0076563F"/>
    <w:rsid w:val="007B5781"/>
    <w:rsid w:val="007F2B51"/>
    <w:rsid w:val="008A2ACF"/>
    <w:rsid w:val="00A464EF"/>
    <w:rsid w:val="00B355A6"/>
    <w:rsid w:val="00B60639"/>
    <w:rsid w:val="00B9405E"/>
    <w:rsid w:val="00B94B8C"/>
    <w:rsid w:val="00BB21AF"/>
    <w:rsid w:val="00BC4D82"/>
    <w:rsid w:val="00BD531C"/>
    <w:rsid w:val="00C17318"/>
    <w:rsid w:val="00DA6A7B"/>
    <w:rsid w:val="00E002D5"/>
    <w:rsid w:val="00E055C3"/>
    <w:rsid w:val="00E862B3"/>
    <w:rsid w:val="00EB41AD"/>
    <w:rsid w:val="00ED206D"/>
    <w:rsid w:val="00EF62B3"/>
    <w:rsid w:val="00F201CC"/>
    <w:rsid w:val="00F24D63"/>
    <w:rsid w:val="00FF52C0"/>
    <w:rsid w:val="00FF66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8E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2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60C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2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60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511</Words>
  <Characters>2811</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3</cp:revision>
  <dcterms:created xsi:type="dcterms:W3CDTF">2017-05-16T17:11:00Z</dcterms:created>
  <dcterms:modified xsi:type="dcterms:W3CDTF">2017-05-16T17:15:00Z</dcterms:modified>
</cp:coreProperties>
</file>