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15C37" w14:textId="6718EDC9" w:rsidR="00FD225F" w:rsidRPr="00FD225F" w:rsidRDefault="002E2882" w:rsidP="00FD225F">
      <w:pPr>
        <w:rPr>
          <w:rFonts w:cs="Times New Roman"/>
          <w:b/>
          <w:lang w:val="es-ES_tradnl"/>
        </w:rPr>
      </w:pPr>
      <w:r>
        <w:rPr>
          <w:b/>
          <w:lang w:val="es-ES_tradnl"/>
        </w:rPr>
        <w:t>Nuevo tr</w:t>
      </w:r>
      <w:r w:rsidR="00C20C84">
        <w:rPr>
          <w:b/>
          <w:lang w:val="es-ES_tradnl"/>
        </w:rPr>
        <w:t>atado de libre comercio amenaza</w:t>
      </w:r>
      <w:r>
        <w:rPr>
          <w:b/>
          <w:lang w:val="es-ES_tradnl"/>
        </w:rPr>
        <w:t xml:space="preserve"> la educación de calidad</w:t>
      </w:r>
    </w:p>
    <w:p w14:paraId="28807848" w14:textId="74715E58" w:rsidR="001D51C1" w:rsidRDefault="001D51C1" w:rsidP="00732404">
      <w:pPr>
        <w:jc w:val="both"/>
        <w:rPr>
          <w:lang w:val="es-ES_tradnl"/>
        </w:rPr>
      </w:pPr>
      <w:r>
        <w:rPr>
          <w:lang w:val="es-ES_tradnl"/>
        </w:rPr>
        <w:t xml:space="preserve">Antoni Verger. </w:t>
      </w:r>
      <w:r w:rsidRPr="001D51C1">
        <w:rPr>
          <w:i/>
          <w:lang w:val="es-ES_tradnl"/>
        </w:rPr>
        <w:t>Universitat Autònoma de Barcelona</w:t>
      </w:r>
    </w:p>
    <w:p w14:paraId="08187566" w14:textId="77777777" w:rsidR="003F6922" w:rsidRDefault="003F6922" w:rsidP="00732404">
      <w:pPr>
        <w:jc w:val="both"/>
        <w:rPr>
          <w:lang w:val="es-ES_tradnl"/>
        </w:rPr>
      </w:pPr>
    </w:p>
    <w:p w14:paraId="2D5C7045" w14:textId="0D6CCD7C" w:rsidR="00922E59" w:rsidRPr="0055596F" w:rsidRDefault="00BB3D8C" w:rsidP="0003545B">
      <w:pPr>
        <w:jc w:val="both"/>
        <w:rPr>
          <w:i/>
          <w:lang w:val="es-ES_tradnl"/>
        </w:rPr>
      </w:pPr>
      <w:r w:rsidRPr="0055596F">
        <w:rPr>
          <w:i/>
          <w:lang w:val="es-ES_tradnl"/>
        </w:rPr>
        <w:t xml:space="preserve">Los acuerdos de libre comercio, como el </w:t>
      </w:r>
      <w:r w:rsidR="00FB3B6E" w:rsidRPr="0055596F">
        <w:rPr>
          <w:i/>
          <w:lang w:val="es-ES_tradnl"/>
        </w:rPr>
        <w:t xml:space="preserve">Acuerdo General de Comercio de Servicios (AGCS) </w:t>
      </w:r>
      <w:r w:rsidRPr="0055596F">
        <w:rPr>
          <w:i/>
          <w:lang w:val="es-ES_tradnl"/>
        </w:rPr>
        <w:t>o</w:t>
      </w:r>
      <w:r w:rsidR="00181CBC" w:rsidRPr="0055596F">
        <w:rPr>
          <w:i/>
          <w:lang w:val="es-ES_tradnl"/>
        </w:rPr>
        <w:t>,</w:t>
      </w:r>
      <w:r w:rsidRPr="0055596F">
        <w:rPr>
          <w:i/>
          <w:lang w:val="es-ES_tradnl"/>
        </w:rPr>
        <w:t xml:space="preserve"> más recientemente</w:t>
      </w:r>
      <w:r w:rsidR="00181CBC" w:rsidRPr="0055596F">
        <w:rPr>
          <w:i/>
          <w:lang w:val="es-ES_tradnl"/>
        </w:rPr>
        <w:t>,</w:t>
      </w:r>
      <w:r w:rsidRPr="0055596F">
        <w:rPr>
          <w:i/>
          <w:lang w:val="es-ES_tradnl"/>
        </w:rPr>
        <w:t xml:space="preserve"> el </w:t>
      </w:r>
      <w:hyperlink r:id="rId6" w:history="1">
        <w:r w:rsidR="00FB3B6E" w:rsidRPr="0055596F">
          <w:rPr>
            <w:i/>
            <w:lang w:val="es-ES_tradnl"/>
          </w:rPr>
          <w:t>Acuerdo sobre el Comercio de Servicios</w:t>
        </w:r>
      </w:hyperlink>
      <w:r w:rsidR="001B59F0" w:rsidRPr="0055596F">
        <w:rPr>
          <w:i/>
          <w:lang w:val="es-ES_tradnl"/>
        </w:rPr>
        <w:t xml:space="preserve"> (</w:t>
      </w:r>
      <w:r w:rsidRPr="0055596F">
        <w:rPr>
          <w:i/>
          <w:lang w:val="es-ES_tradnl"/>
        </w:rPr>
        <w:t>TISA</w:t>
      </w:r>
      <w:r w:rsidR="001B59F0" w:rsidRPr="0055596F">
        <w:rPr>
          <w:i/>
          <w:lang w:val="es-ES_tradnl"/>
        </w:rPr>
        <w:t>)</w:t>
      </w:r>
      <w:r w:rsidRPr="0055596F">
        <w:rPr>
          <w:i/>
          <w:lang w:val="es-ES_tradnl"/>
        </w:rPr>
        <w:t xml:space="preserve"> plantean importantes</w:t>
      </w:r>
      <w:r w:rsidR="00181CBC" w:rsidRPr="0055596F">
        <w:rPr>
          <w:i/>
          <w:lang w:val="es-ES_tradnl"/>
        </w:rPr>
        <w:t xml:space="preserve"> retos</w:t>
      </w:r>
      <w:r w:rsidRPr="0055596F">
        <w:rPr>
          <w:i/>
          <w:lang w:val="es-ES_tradnl"/>
        </w:rPr>
        <w:t xml:space="preserve"> de cara a la construcción</w:t>
      </w:r>
      <w:r w:rsidR="003F6922" w:rsidRPr="0055596F">
        <w:rPr>
          <w:i/>
          <w:lang w:val="es-ES_tradnl"/>
        </w:rPr>
        <w:t xml:space="preserve"> y</w:t>
      </w:r>
      <w:r w:rsidR="00181CBC" w:rsidRPr="0055596F">
        <w:rPr>
          <w:i/>
          <w:lang w:val="es-ES_tradnl"/>
        </w:rPr>
        <w:t xml:space="preserve"> a</w:t>
      </w:r>
      <w:r w:rsidR="003F6922" w:rsidRPr="0055596F">
        <w:rPr>
          <w:i/>
          <w:lang w:val="es-ES_tradnl"/>
        </w:rPr>
        <w:t xml:space="preserve"> la consolidación</w:t>
      </w:r>
      <w:r w:rsidRPr="0055596F">
        <w:rPr>
          <w:i/>
          <w:lang w:val="es-ES_tradnl"/>
        </w:rPr>
        <w:t xml:space="preserve"> de sistemas educativos públicos, especialmente </w:t>
      </w:r>
      <w:r w:rsidR="001B59F0" w:rsidRPr="0055596F">
        <w:rPr>
          <w:i/>
          <w:lang w:val="es-ES_tradnl"/>
        </w:rPr>
        <w:t xml:space="preserve">en </w:t>
      </w:r>
      <w:r w:rsidRPr="0055596F">
        <w:rPr>
          <w:i/>
          <w:lang w:val="es-ES_tradnl"/>
        </w:rPr>
        <w:t xml:space="preserve">los países </w:t>
      </w:r>
      <w:r w:rsidR="002E1DA7">
        <w:rPr>
          <w:i/>
          <w:lang w:val="es-ES_tradnl"/>
        </w:rPr>
        <w:t xml:space="preserve"> del Sur</w:t>
      </w:r>
      <w:r w:rsidR="00732404">
        <w:rPr>
          <w:i/>
          <w:lang w:val="es-ES_tradnl"/>
        </w:rPr>
        <w:t>.</w:t>
      </w:r>
    </w:p>
    <w:p w14:paraId="4E4BD2F8" w14:textId="77777777" w:rsidR="00BB3D8C" w:rsidRPr="001B59F0" w:rsidRDefault="00BB3D8C" w:rsidP="00732404">
      <w:pPr>
        <w:jc w:val="both"/>
        <w:rPr>
          <w:lang w:val="es-ES_tradnl"/>
        </w:rPr>
      </w:pPr>
      <w:bookmarkStart w:id="0" w:name="_GoBack"/>
      <w:bookmarkEnd w:id="0"/>
    </w:p>
    <w:p w14:paraId="4DE94E02" w14:textId="6BB1BAD0" w:rsidR="00BB3D8C" w:rsidRDefault="001B59F0" w:rsidP="00732404">
      <w:pPr>
        <w:jc w:val="both"/>
        <w:rPr>
          <w:lang w:val="es-ES_tradnl"/>
        </w:rPr>
      </w:pPr>
      <w:r w:rsidRPr="001B59F0">
        <w:rPr>
          <w:lang w:val="es-ES_tradnl"/>
        </w:rPr>
        <w:t>Estos acuerdos,</w:t>
      </w:r>
      <w:r w:rsidR="00BB3D8C" w:rsidRPr="001B59F0">
        <w:rPr>
          <w:lang w:val="es-ES_tradnl"/>
        </w:rPr>
        <w:t xml:space="preserve"> una vez firmados, obligan a los gobiernos a garantizar a los pr</w:t>
      </w:r>
      <w:r w:rsidRPr="001B59F0">
        <w:rPr>
          <w:lang w:val="es-ES_tradnl"/>
        </w:rPr>
        <w:t>oveedores de servicios transnacio</w:t>
      </w:r>
      <w:r w:rsidR="00BB3D8C" w:rsidRPr="001B59F0">
        <w:rPr>
          <w:lang w:val="es-ES_tradnl"/>
        </w:rPr>
        <w:t xml:space="preserve">nales </w:t>
      </w:r>
      <w:r w:rsidR="00732404">
        <w:rPr>
          <w:lang w:val="es-ES_tradnl"/>
        </w:rPr>
        <w:t xml:space="preserve">el </w:t>
      </w:r>
      <w:r w:rsidR="00BB3D8C" w:rsidRPr="001B59F0">
        <w:rPr>
          <w:lang w:val="es-ES_tradnl"/>
        </w:rPr>
        <w:t>ac</w:t>
      </w:r>
      <w:r w:rsidRPr="001B59F0">
        <w:rPr>
          <w:lang w:val="es-ES_tradnl"/>
        </w:rPr>
        <w:t>ceso</w:t>
      </w:r>
      <w:r w:rsidR="00BB3D8C" w:rsidRPr="001B59F0">
        <w:rPr>
          <w:lang w:val="es-ES_tradnl"/>
        </w:rPr>
        <w:t xml:space="preserve"> a sus mercados nacionales por </w:t>
      </w:r>
      <w:r w:rsidR="0044098B">
        <w:rPr>
          <w:lang w:val="es-ES_tradnl"/>
        </w:rPr>
        <w:t xml:space="preserve"> </w:t>
      </w:r>
      <w:r w:rsidR="00732404">
        <w:rPr>
          <w:lang w:val="es-ES_tradnl"/>
        </w:rPr>
        <w:t>tiempo indefinido,</w:t>
      </w:r>
      <w:r w:rsidRPr="001B59F0">
        <w:rPr>
          <w:lang w:val="es-ES_tradnl"/>
        </w:rPr>
        <w:t xml:space="preserve"> limitando </w:t>
      </w:r>
      <w:r w:rsidR="00181CBC">
        <w:rPr>
          <w:lang w:val="es-ES_tradnl"/>
        </w:rPr>
        <w:t xml:space="preserve">la </w:t>
      </w:r>
      <w:r w:rsidRPr="001B59F0">
        <w:rPr>
          <w:lang w:val="es-ES_tradnl"/>
        </w:rPr>
        <w:t>capacidad de regulación</w:t>
      </w:r>
      <w:r w:rsidR="003F6922">
        <w:rPr>
          <w:lang w:val="es-ES_tradnl"/>
        </w:rPr>
        <w:t xml:space="preserve"> </w:t>
      </w:r>
      <w:r w:rsidR="00181CBC">
        <w:rPr>
          <w:lang w:val="es-ES_tradnl"/>
        </w:rPr>
        <w:t>estatal</w:t>
      </w:r>
      <w:r w:rsidR="00BB3D8C" w:rsidRPr="001B59F0">
        <w:rPr>
          <w:lang w:val="es-ES_tradnl"/>
        </w:rPr>
        <w:t>.</w:t>
      </w:r>
      <w:r w:rsidRPr="001B59F0">
        <w:rPr>
          <w:lang w:val="es-ES_tradnl"/>
        </w:rPr>
        <w:t xml:space="preserve"> En el caso de la educación</w:t>
      </w:r>
      <w:r w:rsidR="003F6922">
        <w:rPr>
          <w:lang w:val="es-ES_tradnl"/>
        </w:rPr>
        <w:t xml:space="preserve">, dado el papel estratégico </w:t>
      </w:r>
      <w:r w:rsidR="00181CBC">
        <w:rPr>
          <w:lang w:val="es-ES_tradnl"/>
        </w:rPr>
        <w:t xml:space="preserve">que </w:t>
      </w:r>
      <w:r w:rsidR="003F6922">
        <w:rPr>
          <w:lang w:val="es-ES_tradnl"/>
        </w:rPr>
        <w:t>este sector</w:t>
      </w:r>
      <w:r w:rsidR="00181CBC">
        <w:rPr>
          <w:lang w:val="es-ES_tradnl"/>
        </w:rPr>
        <w:t xml:space="preserve"> juega</w:t>
      </w:r>
      <w:r w:rsidR="003F6922">
        <w:rPr>
          <w:lang w:val="es-ES_tradnl"/>
        </w:rPr>
        <w:t xml:space="preserve"> en la promoción de la equidad</w:t>
      </w:r>
      <w:r w:rsidR="00207773">
        <w:rPr>
          <w:lang w:val="es-ES_tradnl"/>
        </w:rPr>
        <w:t xml:space="preserve"> social</w:t>
      </w:r>
      <w:r w:rsidR="00181CBC">
        <w:rPr>
          <w:lang w:val="es-ES_tradnl"/>
        </w:rPr>
        <w:t xml:space="preserve"> y la distribución de oportunidades</w:t>
      </w:r>
      <w:r w:rsidR="00207773">
        <w:rPr>
          <w:lang w:val="es-ES_tradnl"/>
        </w:rPr>
        <w:t xml:space="preserve">, así como </w:t>
      </w:r>
      <w:r w:rsidR="00181CBC">
        <w:rPr>
          <w:lang w:val="es-ES_tradnl"/>
        </w:rPr>
        <w:t xml:space="preserve">de su condición </w:t>
      </w:r>
      <w:r w:rsidR="00207773">
        <w:rPr>
          <w:lang w:val="es-ES_tradnl"/>
        </w:rPr>
        <w:t>como derecho humano fundamental, dichos r</w:t>
      </w:r>
      <w:r w:rsidR="00181CBC">
        <w:rPr>
          <w:lang w:val="es-ES_tradnl"/>
        </w:rPr>
        <w:t xml:space="preserve">iesgos </w:t>
      </w:r>
      <w:r w:rsidR="00207773">
        <w:rPr>
          <w:lang w:val="es-ES_tradnl"/>
        </w:rPr>
        <w:t>se multiplican.</w:t>
      </w:r>
    </w:p>
    <w:p w14:paraId="0A627B5F" w14:textId="77777777" w:rsidR="001B59F0" w:rsidRDefault="001B59F0" w:rsidP="00732404">
      <w:pPr>
        <w:jc w:val="both"/>
        <w:rPr>
          <w:lang w:val="es-ES_tradnl"/>
        </w:rPr>
      </w:pPr>
    </w:p>
    <w:p w14:paraId="7F239A6A" w14:textId="41E1125B" w:rsidR="001B59F0" w:rsidRDefault="001B59F0" w:rsidP="00732404">
      <w:pPr>
        <w:jc w:val="both"/>
        <w:rPr>
          <w:lang w:val="es-ES_tradnl"/>
        </w:rPr>
      </w:pPr>
      <w:r>
        <w:rPr>
          <w:lang w:val="es-ES_tradnl"/>
        </w:rPr>
        <w:t xml:space="preserve">Los defensores del libre comercio consideran que la liberalización del sector educativo permitirá diversificar la oferta educativa y fomentar la competición entre proveedores </w:t>
      </w:r>
      <w:r w:rsidR="00C83210">
        <w:rPr>
          <w:lang w:val="es-ES_tradnl"/>
        </w:rPr>
        <w:t>-</w:t>
      </w:r>
      <w:r>
        <w:rPr>
          <w:lang w:val="es-ES_tradnl"/>
        </w:rPr>
        <w:t>lo cual</w:t>
      </w:r>
      <w:r w:rsidR="00C83210">
        <w:rPr>
          <w:lang w:val="es-ES_tradnl"/>
        </w:rPr>
        <w:t>,</w:t>
      </w:r>
      <w:r>
        <w:rPr>
          <w:lang w:val="es-ES_tradnl"/>
        </w:rPr>
        <w:t xml:space="preserve"> consideran</w:t>
      </w:r>
      <w:r w:rsidR="00C83210">
        <w:rPr>
          <w:lang w:val="es-ES_tradnl"/>
        </w:rPr>
        <w:t>,</w:t>
      </w:r>
      <w:r>
        <w:rPr>
          <w:lang w:val="es-ES_tradnl"/>
        </w:rPr>
        <w:t xml:space="preserve"> </w:t>
      </w:r>
      <w:r w:rsidR="00E50D19">
        <w:rPr>
          <w:lang w:val="es-ES_tradnl"/>
        </w:rPr>
        <w:t xml:space="preserve">es </w:t>
      </w:r>
      <w:r w:rsidR="00207773">
        <w:rPr>
          <w:lang w:val="es-ES_tradnl"/>
        </w:rPr>
        <w:t>sinónimo</w:t>
      </w:r>
      <w:r>
        <w:rPr>
          <w:lang w:val="es-ES_tradnl"/>
        </w:rPr>
        <w:t xml:space="preserve"> de </w:t>
      </w:r>
      <w:r w:rsidR="00E50D19">
        <w:rPr>
          <w:lang w:val="es-ES_tradnl"/>
        </w:rPr>
        <w:t xml:space="preserve">la </w:t>
      </w:r>
      <w:r w:rsidR="00207773">
        <w:rPr>
          <w:lang w:val="es-ES_tradnl"/>
        </w:rPr>
        <w:t xml:space="preserve">promoción de una oferta de </w:t>
      </w:r>
      <w:r>
        <w:rPr>
          <w:lang w:val="es-ES_tradnl"/>
        </w:rPr>
        <w:t>calidad. Ahora bien, la comunidad educativa es más bien escéptica respecto</w:t>
      </w:r>
      <w:r w:rsidR="00457D65">
        <w:rPr>
          <w:lang w:val="es-ES_tradnl"/>
        </w:rPr>
        <w:t xml:space="preserve"> a esta tesis</w:t>
      </w:r>
      <w:r>
        <w:rPr>
          <w:lang w:val="es-ES_tradnl"/>
        </w:rPr>
        <w:t xml:space="preserve">. </w:t>
      </w:r>
      <w:r w:rsidR="00F22F3E">
        <w:rPr>
          <w:lang w:val="es-ES_tradnl"/>
        </w:rPr>
        <w:t>La</w:t>
      </w:r>
      <w:r w:rsidR="00457D65">
        <w:rPr>
          <w:lang w:val="es-ES_tradnl"/>
        </w:rPr>
        <w:t xml:space="preserve"> </w:t>
      </w:r>
      <w:r w:rsidR="00F22F3E">
        <w:rPr>
          <w:lang w:val="es-ES_tradnl"/>
        </w:rPr>
        <w:t>i</w:t>
      </w:r>
      <w:r>
        <w:rPr>
          <w:lang w:val="es-ES_tradnl"/>
        </w:rPr>
        <w:t>ntromisión de los acuerdos comerc</w:t>
      </w:r>
      <w:r w:rsidR="00F22F3E">
        <w:rPr>
          <w:lang w:val="es-ES_tradnl"/>
        </w:rPr>
        <w:t>iales en el campo educativo genera serias preocupaciones.</w:t>
      </w:r>
    </w:p>
    <w:p w14:paraId="13E7C979" w14:textId="77777777" w:rsidR="00E50D19" w:rsidRDefault="00E50D19" w:rsidP="00732404">
      <w:pPr>
        <w:jc w:val="both"/>
        <w:rPr>
          <w:lang w:val="es-ES_tradnl"/>
        </w:rPr>
      </w:pPr>
    </w:p>
    <w:p w14:paraId="3E28EF43" w14:textId="34235822" w:rsidR="001B59F0" w:rsidRDefault="00CE5AE9" w:rsidP="00732404">
      <w:pPr>
        <w:jc w:val="both"/>
        <w:rPr>
          <w:lang w:val="es-ES_tradnl"/>
        </w:rPr>
      </w:pPr>
      <w:r>
        <w:rPr>
          <w:i/>
          <w:lang w:val="es-ES_tradnl"/>
        </w:rPr>
        <w:t xml:space="preserve">En primer lugar, </w:t>
      </w:r>
      <w:r w:rsidR="00F22F3E">
        <w:rPr>
          <w:i/>
          <w:lang w:val="es-ES_tradnl"/>
        </w:rPr>
        <w:t xml:space="preserve">respecto a </w:t>
      </w:r>
      <w:r>
        <w:rPr>
          <w:i/>
          <w:lang w:val="es-ES_tradnl"/>
        </w:rPr>
        <w:t>l</w:t>
      </w:r>
      <w:r w:rsidR="001B59F0" w:rsidRPr="00C83210">
        <w:rPr>
          <w:i/>
          <w:lang w:val="es-ES_tradnl"/>
        </w:rPr>
        <w:t>a capacidad de regular</w:t>
      </w:r>
      <w:r w:rsidR="00E11B15" w:rsidRPr="00C83210">
        <w:rPr>
          <w:i/>
          <w:lang w:val="es-ES_tradnl"/>
        </w:rPr>
        <w:t xml:space="preserve"> de los estados</w:t>
      </w:r>
      <w:r>
        <w:rPr>
          <w:i/>
          <w:lang w:val="es-ES_tradnl"/>
        </w:rPr>
        <w:t>.</w:t>
      </w:r>
      <w:r w:rsidR="001B59F0" w:rsidRPr="00C83210">
        <w:rPr>
          <w:i/>
          <w:lang w:val="es-ES_tradnl"/>
        </w:rPr>
        <w:t xml:space="preserve"> </w:t>
      </w:r>
      <w:r>
        <w:rPr>
          <w:lang w:val="es-ES_tradnl"/>
        </w:rPr>
        <w:t>L</w:t>
      </w:r>
      <w:r w:rsidR="001B59F0" w:rsidRPr="00C83210">
        <w:rPr>
          <w:lang w:val="es-ES_tradnl"/>
        </w:rPr>
        <w:t xml:space="preserve">os compromisos de </w:t>
      </w:r>
      <w:r w:rsidR="00E11B15" w:rsidRPr="00C83210">
        <w:rPr>
          <w:lang w:val="es-ES_tradnl"/>
        </w:rPr>
        <w:t>liberalización adqu</w:t>
      </w:r>
      <w:r w:rsidR="00E11B15" w:rsidRPr="00904997">
        <w:rPr>
          <w:lang w:val="es-ES_tradnl"/>
        </w:rPr>
        <w:t>iridos en el marco de acuerdos comerciales</w:t>
      </w:r>
      <w:r w:rsidR="00F22F3E">
        <w:rPr>
          <w:lang w:val="es-ES_tradnl"/>
        </w:rPr>
        <w:t>,</w:t>
      </w:r>
      <w:r w:rsidR="00E11B15" w:rsidRPr="00904997">
        <w:rPr>
          <w:lang w:val="es-ES_tradnl"/>
        </w:rPr>
        <w:t xml:space="preserve"> limita</w:t>
      </w:r>
      <w:r w:rsidR="00457D65" w:rsidRPr="00CE5AE9">
        <w:rPr>
          <w:lang w:val="es-ES_tradnl"/>
        </w:rPr>
        <w:t>n</w:t>
      </w:r>
      <w:r w:rsidR="00E11B15" w:rsidRPr="00CE5AE9">
        <w:rPr>
          <w:lang w:val="es-ES_tradnl"/>
        </w:rPr>
        <w:t xml:space="preserve"> la capacidad de los gobiernos a la hora de introducir nuevas regulaciones en el ámbito educativo</w:t>
      </w:r>
      <w:r w:rsidR="00457D65" w:rsidRPr="00C83210">
        <w:rPr>
          <w:lang w:val="es-ES_tradnl"/>
        </w:rPr>
        <w:t xml:space="preserve">, ya que éstas </w:t>
      </w:r>
      <w:r w:rsidR="00E11B15" w:rsidRPr="00C83210">
        <w:rPr>
          <w:lang w:val="es-ES_tradnl"/>
        </w:rPr>
        <w:t>pueden ser consideradas como “barreras comerciales”</w:t>
      </w:r>
      <w:r w:rsidR="00E50D19" w:rsidRPr="00C83210">
        <w:rPr>
          <w:lang w:val="es-ES_tradnl"/>
        </w:rPr>
        <w:t xml:space="preserve"> innecesarias</w:t>
      </w:r>
      <w:r w:rsidR="00E11B15" w:rsidRPr="00C83210">
        <w:rPr>
          <w:lang w:val="es-ES_tradnl"/>
        </w:rPr>
        <w:t>. Nos referimos a temas</w:t>
      </w:r>
      <w:r w:rsidR="00457D65" w:rsidRPr="00C83210">
        <w:rPr>
          <w:lang w:val="es-ES_tradnl"/>
        </w:rPr>
        <w:t xml:space="preserve"> clave en la regulación de todo sistema educativo</w:t>
      </w:r>
      <w:r w:rsidR="00E11B15" w:rsidRPr="00C83210">
        <w:rPr>
          <w:lang w:val="es-ES_tradnl"/>
        </w:rPr>
        <w:t xml:space="preserve"> como </w:t>
      </w:r>
      <w:r w:rsidR="00457D65" w:rsidRPr="00C83210">
        <w:rPr>
          <w:lang w:val="es-ES_tradnl"/>
        </w:rPr>
        <w:t xml:space="preserve">pueden ser </w:t>
      </w:r>
      <w:r w:rsidR="00E11B15" w:rsidRPr="00C83210">
        <w:rPr>
          <w:lang w:val="es-ES_tradnl"/>
        </w:rPr>
        <w:t>los requisitos de cualificación del profesorado</w:t>
      </w:r>
      <w:r w:rsidR="00457D65" w:rsidRPr="00C83210">
        <w:rPr>
          <w:lang w:val="es-ES_tradnl"/>
        </w:rPr>
        <w:t>,</w:t>
      </w:r>
      <w:r w:rsidR="00E11B15" w:rsidRPr="00C83210">
        <w:rPr>
          <w:lang w:val="es-ES_tradnl"/>
        </w:rPr>
        <w:t xml:space="preserve"> o</w:t>
      </w:r>
      <w:r w:rsidR="00457D65" w:rsidRPr="00C83210">
        <w:rPr>
          <w:lang w:val="es-ES_tradnl"/>
        </w:rPr>
        <w:t xml:space="preserve"> </w:t>
      </w:r>
      <w:r w:rsidR="00E11B15" w:rsidRPr="00C83210">
        <w:rPr>
          <w:lang w:val="es-ES_tradnl"/>
        </w:rPr>
        <w:t>procesos de certificación</w:t>
      </w:r>
      <w:r w:rsidR="00457D65" w:rsidRPr="00C83210">
        <w:rPr>
          <w:lang w:val="es-ES_tradnl"/>
        </w:rPr>
        <w:t xml:space="preserve"> de nuevos proveedores</w:t>
      </w:r>
      <w:r w:rsidR="00E11B15" w:rsidRPr="00C83210">
        <w:rPr>
          <w:lang w:val="es-ES_tradnl"/>
        </w:rPr>
        <w:t xml:space="preserve">. Los acuerdos comerciales </w:t>
      </w:r>
      <w:r w:rsidR="00457D65" w:rsidRPr="00C83210">
        <w:rPr>
          <w:lang w:val="es-ES_tradnl"/>
        </w:rPr>
        <w:t xml:space="preserve">pueden también impedir </w:t>
      </w:r>
      <w:r w:rsidR="00E11B15" w:rsidRPr="00C83210">
        <w:rPr>
          <w:lang w:val="es-ES_tradnl"/>
        </w:rPr>
        <w:t xml:space="preserve">a los gobiernos </w:t>
      </w:r>
      <w:r w:rsidR="00457D65" w:rsidRPr="00C83210">
        <w:rPr>
          <w:lang w:val="es-ES_tradnl"/>
        </w:rPr>
        <w:t>establecer límites a las operaciones de los proveedores con fines de lucro</w:t>
      </w:r>
      <w:r w:rsidR="00E50D19" w:rsidRPr="00C83210">
        <w:rPr>
          <w:lang w:val="es-ES_tradnl"/>
        </w:rPr>
        <w:t>,</w:t>
      </w:r>
      <w:r w:rsidR="00457D65" w:rsidRPr="00C83210">
        <w:rPr>
          <w:lang w:val="es-ES_tradnl"/>
        </w:rPr>
        <w:t xml:space="preserve"> o al porcentaje de beneficios que estos </w:t>
      </w:r>
      <w:r w:rsidR="00E50D19" w:rsidRPr="00C83210">
        <w:rPr>
          <w:lang w:val="es-ES_tradnl"/>
        </w:rPr>
        <w:t xml:space="preserve">últimos </w:t>
      </w:r>
      <w:r w:rsidR="00457D65" w:rsidRPr="00C83210">
        <w:rPr>
          <w:lang w:val="es-ES_tradnl"/>
        </w:rPr>
        <w:t xml:space="preserve">pueden repatriar en concepto de </w:t>
      </w:r>
      <w:r w:rsidR="00E11B15" w:rsidRPr="00C83210">
        <w:rPr>
          <w:lang w:val="es-ES_tradnl"/>
        </w:rPr>
        <w:t>regalías</w:t>
      </w:r>
      <w:r w:rsidR="00E50D19" w:rsidRPr="00C83210">
        <w:rPr>
          <w:lang w:val="es-ES_tradnl"/>
        </w:rPr>
        <w:t>.</w:t>
      </w:r>
      <w:r w:rsidR="00E11B15" w:rsidRPr="00C83210">
        <w:rPr>
          <w:lang w:val="es-ES_tradnl"/>
        </w:rPr>
        <w:t xml:space="preserve"> </w:t>
      </w:r>
    </w:p>
    <w:p w14:paraId="48EE5BED" w14:textId="77777777" w:rsidR="00D867D3" w:rsidRPr="00D867D3" w:rsidRDefault="00D867D3" w:rsidP="00732404">
      <w:pPr>
        <w:jc w:val="both"/>
        <w:rPr>
          <w:lang w:val="es-ES_tradnl"/>
        </w:rPr>
      </w:pPr>
    </w:p>
    <w:p w14:paraId="436FC20B" w14:textId="353B57D9" w:rsidR="00207773" w:rsidRPr="003F6922" w:rsidRDefault="00CE5AE9" w:rsidP="00732404">
      <w:pPr>
        <w:jc w:val="both"/>
      </w:pPr>
      <w:r>
        <w:rPr>
          <w:i/>
          <w:lang w:val="es-ES_tradnl"/>
        </w:rPr>
        <w:t>Además, e</w:t>
      </w:r>
      <w:r w:rsidR="001B59F0" w:rsidRPr="00C83210">
        <w:rPr>
          <w:i/>
          <w:lang w:val="es-ES_tradnl"/>
        </w:rPr>
        <w:t xml:space="preserve">l control de </w:t>
      </w:r>
      <w:r w:rsidR="00E50D19" w:rsidRPr="00C83210">
        <w:rPr>
          <w:i/>
          <w:lang w:val="es-ES_tradnl"/>
        </w:rPr>
        <w:t xml:space="preserve">la </w:t>
      </w:r>
      <w:r w:rsidR="001B59F0" w:rsidRPr="00904997">
        <w:rPr>
          <w:i/>
          <w:lang w:val="es-ES_tradnl"/>
        </w:rPr>
        <w:t>calidad</w:t>
      </w:r>
      <w:r>
        <w:rPr>
          <w:lang w:val="es-ES_tradnl"/>
        </w:rPr>
        <w:t xml:space="preserve">. </w:t>
      </w:r>
      <w:r w:rsidR="00F22F3E">
        <w:rPr>
          <w:lang w:val="es-ES_tradnl"/>
        </w:rPr>
        <w:t>En ese sentido, d</w:t>
      </w:r>
      <w:r w:rsidR="00457D65" w:rsidRPr="00904997">
        <w:rPr>
          <w:lang w:val="es-ES_tradnl"/>
        </w:rPr>
        <w:t>esde el punto de vista del libre comercio,</w:t>
      </w:r>
      <w:r w:rsidR="00457D65" w:rsidRPr="00CE5AE9">
        <w:rPr>
          <w:lang w:val="es-ES_tradnl"/>
        </w:rPr>
        <w:t xml:space="preserve"> d</w:t>
      </w:r>
      <w:r w:rsidR="00E11B15" w:rsidRPr="00CE5AE9">
        <w:rPr>
          <w:lang w:val="es-ES_tradnl"/>
        </w:rPr>
        <w:t xml:space="preserve">eterminadas normas </w:t>
      </w:r>
      <w:r w:rsidR="00457D65" w:rsidRPr="00CE5AE9">
        <w:rPr>
          <w:lang w:val="es-ES_tradnl"/>
        </w:rPr>
        <w:t xml:space="preserve">y </w:t>
      </w:r>
      <w:r w:rsidR="00E11B15" w:rsidRPr="00C83210">
        <w:rPr>
          <w:lang w:val="es-ES_tradnl"/>
        </w:rPr>
        <w:t xml:space="preserve">procedimientos </w:t>
      </w:r>
      <w:r w:rsidR="00457D65" w:rsidRPr="00C83210">
        <w:rPr>
          <w:lang w:val="es-ES_tradnl"/>
        </w:rPr>
        <w:t xml:space="preserve">para la </w:t>
      </w:r>
      <w:r w:rsidR="00E11B15" w:rsidRPr="00C83210">
        <w:rPr>
          <w:lang w:val="es-ES_tradnl"/>
        </w:rPr>
        <w:t xml:space="preserve">evaluación </w:t>
      </w:r>
      <w:r w:rsidR="00457D65" w:rsidRPr="00C83210">
        <w:rPr>
          <w:lang w:val="es-ES_tradnl"/>
        </w:rPr>
        <w:t xml:space="preserve">y acreditación </w:t>
      </w:r>
      <w:r w:rsidR="00E11B15" w:rsidRPr="00C83210">
        <w:rPr>
          <w:lang w:val="es-ES_tradnl"/>
        </w:rPr>
        <w:t>de la calidad</w:t>
      </w:r>
      <w:r w:rsidR="00E50D19" w:rsidRPr="00C83210">
        <w:rPr>
          <w:lang w:val="es-ES_tradnl"/>
        </w:rPr>
        <w:t xml:space="preserve"> pueden ser percibido</w:t>
      </w:r>
      <w:r w:rsidR="00457D65" w:rsidRPr="00C83210">
        <w:rPr>
          <w:lang w:val="es-ES_tradnl"/>
        </w:rPr>
        <w:t>s como barreras comerciales</w:t>
      </w:r>
      <w:r w:rsidR="00E11B15" w:rsidRPr="00C83210">
        <w:rPr>
          <w:lang w:val="es-ES_tradnl"/>
        </w:rPr>
        <w:t>. Además, la teoría de que</w:t>
      </w:r>
      <w:r w:rsidR="00D867D3">
        <w:rPr>
          <w:lang w:val="es-ES_tradnl"/>
        </w:rPr>
        <w:t>,</w:t>
      </w:r>
      <w:r w:rsidR="00E11B15" w:rsidRPr="00904997">
        <w:rPr>
          <w:lang w:val="es-ES_tradnl"/>
        </w:rPr>
        <w:t xml:space="preserve"> a más proveedores, más competición</w:t>
      </w:r>
      <w:r w:rsidR="00457D65" w:rsidRPr="00904997">
        <w:rPr>
          <w:lang w:val="es-ES_tradnl"/>
        </w:rPr>
        <w:t xml:space="preserve"> y</w:t>
      </w:r>
      <w:r w:rsidR="00E11B15" w:rsidRPr="00904997">
        <w:rPr>
          <w:lang w:val="es-ES_tradnl"/>
        </w:rPr>
        <w:t>,</w:t>
      </w:r>
      <w:r w:rsidR="00457D65" w:rsidRPr="00904997">
        <w:rPr>
          <w:lang w:val="es-ES_tradnl"/>
        </w:rPr>
        <w:t xml:space="preserve"> por ende,</w:t>
      </w:r>
      <w:r w:rsidR="00E11B15" w:rsidRPr="00CE5AE9">
        <w:rPr>
          <w:lang w:val="es-ES_tradnl"/>
        </w:rPr>
        <w:t xml:space="preserve"> mejor calidad</w:t>
      </w:r>
      <w:r w:rsidR="00457D65" w:rsidRPr="00CE5AE9">
        <w:rPr>
          <w:lang w:val="es-ES_tradnl"/>
        </w:rPr>
        <w:t xml:space="preserve"> de los servicios, no tiende a fun</w:t>
      </w:r>
      <w:r w:rsidR="00457D65" w:rsidRPr="00C83210">
        <w:rPr>
          <w:lang w:val="es-ES_tradnl"/>
        </w:rPr>
        <w:t xml:space="preserve">cionar en el campo educativo, y menos aún </w:t>
      </w:r>
      <w:r w:rsidR="00E11B15" w:rsidRPr="00C83210">
        <w:rPr>
          <w:lang w:val="es-ES_tradnl"/>
        </w:rPr>
        <w:t xml:space="preserve">en entornos con regulaciones débiles. </w:t>
      </w:r>
      <w:r w:rsidR="00E50D19" w:rsidRPr="00C83210">
        <w:rPr>
          <w:lang w:val="es-ES_tradnl"/>
        </w:rPr>
        <w:t>De hecho, e</w:t>
      </w:r>
      <w:r w:rsidR="00E11B15" w:rsidRPr="00C83210">
        <w:rPr>
          <w:lang w:val="es-ES_tradnl"/>
        </w:rPr>
        <w:t>s habitual que los proveedor</w:t>
      </w:r>
      <w:r w:rsidR="00457D65" w:rsidRPr="00C83210">
        <w:rPr>
          <w:lang w:val="es-ES_tradnl"/>
        </w:rPr>
        <w:t>es educativos lucrativos (sean é</w:t>
      </w:r>
      <w:r w:rsidR="00E11B15" w:rsidRPr="00C83210">
        <w:rPr>
          <w:lang w:val="es-ES_tradnl"/>
        </w:rPr>
        <w:t>stos transnacionales</w:t>
      </w:r>
      <w:r w:rsidR="00D867D3">
        <w:rPr>
          <w:lang w:val="es-ES_tradnl"/>
        </w:rPr>
        <w:t xml:space="preserve"> </w:t>
      </w:r>
      <w:r w:rsidR="00E11B15" w:rsidRPr="00D867D3">
        <w:rPr>
          <w:lang w:val="es-ES_tradnl"/>
        </w:rPr>
        <w:t xml:space="preserve">o locales) ofrezcan </w:t>
      </w:r>
      <w:r w:rsidR="003F6922" w:rsidRPr="00D867D3">
        <w:rPr>
          <w:lang w:val="es-ES_tradnl"/>
        </w:rPr>
        <w:t>peores condiciones laborales</w:t>
      </w:r>
      <w:r w:rsidR="00457D65" w:rsidRPr="00D867D3">
        <w:rPr>
          <w:lang w:val="es-ES_tradnl"/>
        </w:rPr>
        <w:t xml:space="preserve"> a</w:t>
      </w:r>
      <w:r w:rsidR="00904997">
        <w:rPr>
          <w:lang w:val="es-ES_tradnl"/>
        </w:rPr>
        <w:t xml:space="preserve"> las y los docentes</w:t>
      </w:r>
      <w:r w:rsidR="003F6922" w:rsidRPr="00904997">
        <w:rPr>
          <w:lang w:val="es-ES_tradnl"/>
        </w:rPr>
        <w:t xml:space="preserve">, tengan </w:t>
      </w:r>
      <w:r w:rsidR="00904997">
        <w:rPr>
          <w:lang w:val="es-ES_tradnl"/>
        </w:rPr>
        <w:t>docentes</w:t>
      </w:r>
      <w:r w:rsidR="003F6922" w:rsidRPr="00904997">
        <w:rPr>
          <w:lang w:val="es-ES_tradnl"/>
        </w:rPr>
        <w:t xml:space="preserve"> </w:t>
      </w:r>
      <w:r w:rsidR="00457D65" w:rsidRPr="00904997">
        <w:rPr>
          <w:lang w:val="es-ES_tradnl"/>
        </w:rPr>
        <w:t>con un nivel de c</w:t>
      </w:r>
      <w:r w:rsidR="00904997">
        <w:rPr>
          <w:lang w:val="es-ES_tradnl"/>
        </w:rPr>
        <w:t>u</w:t>
      </w:r>
      <w:r w:rsidR="00457D65" w:rsidRPr="00904997">
        <w:rPr>
          <w:lang w:val="es-ES_tradnl"/>
        </w:rPr>
        <w:t xml:space="preserve">alificación más bajo, </w:t>
      </w:r>
      <w:r w:rsidR="003F6922" w:rsidRPr="00904997">
        <w:rPr>
          <w:lang w:val="es-ES_tradnl"/>
        </w:rPr>
        <w:t xml:space="preserve">o </w:t>
      </w:r>
      <w:r w:rsidR="00457D65" w:rsidRPr="00904997">
        <w:rPr>
          <w:lang w:val="es-ES_tradnl"/>
        </w:rPr>
        <w:t xml:space="preserve">cuenten con </w:t>
      </w:r>
      <w:r w:rsidR="003F6922" w:rsidRPr="00904997">
        <w:rPr>
          <w:lang w:val="es-ES_tradnl"/>
        </w:rPr>
        <w:t>infra</w:t>
      </w:r>
      <w:r w:rsidR="00457D65" w:rsidRPr="00904997">
        <w:rPr>
          <w:lang w:val="es-ES_tradnl"/>
        </w:rPr>
        <w:t>e</w:t>
      </w:r>
      <w:r w:rsidR="003F6922" w:rsidRPr="00904997">
        <w:rPr>
          <w:lang w:val="es-ES_tradnl"/>
        </w:rPr>
        <w:t xml:space="preserve">structuras más deficitarias </w:t>
      </w:r>
      <w:r w:rsidR="00904997">
        <w:rPr>
          <w:lang w:val="es-ES_tradnl"/>
        </w:rPr>
        <w:t>en</w:t>
      </w:r>
      <w:r w:rsidR="003F6922" w:rsidRPr="00904997">
        <w:rPr>
          <w:lang w:val="es-ES_tradnl"/>
        </w:rPr>
        <w:t xml:space="preserve"> lo que respecta a laboratorios, acceso a bibliotecas, etc. Por ejemplo, en la Universidad Europea de Madrid (que pertene</w:t>
      </w:r>
      <w:r>
        <w:rPr>
          <w:lang w:val="es-ES_tradnl"/>
        </w:rPr>
        <w:t>ce</w:t>
      </w:r>
      <w:r w:rsidR="003F6922" w:rsidRPr="00904997">
        <w:rPr>
          <w:lang w:val="es-ES_tradnl"/>
        </w:rPr>
        <w:t xml:space="preserve"> a la empresa</w:t>
      </w:r>
      <w:r w:rsidR="00457D65" w:rsidRPr="00CE5AE9">
        <w:rPr>
          <w:lang w:val="es-ES_tradnl"/>
        </w:rPr>
        <w:t xml:space="preserve"> </w:t>
      </w:r>
      <w:r>
        <w:rPr>
          <w:lang w:val="es-ES_tradnl"/>
        </w:rPr>
        <w:t>I</w:t>
      </w:r>
      <w:r w:rsidR="00457D65" w:rsidRPr="00CE5AE9">
        <w:rPr>
          <w:lang w:val="es-ES_tradnl"/>
        </w:rPr>
        <w:t xml:space="preserve">nternational </w:t>
      </w:r>
      <w:proofErr w:type="spellStart"/>
      <w:r w:rsidR="00457D65" w:rsidRPr="00CE5AE9">
        <w:rPr>
          <w:lang w:val="es-ES_tradnl"/>
        </w:rPr>
        <w:t>Laureate</w:t>
      </w:r>
      <w:proofErr w:type="spellEnd"/>
      <w:r w:rsidR="00457D65" w:rsidRPr="00CE5AE9">
        <w:rPr>
          <w:lang w:val="es-ES_tradnl"/>
        </w:rPr>
        <w:t>)</w:t>
      </w:r>
      <w:r w:rsidR="003F6922" w:rsidRPr="00CE5AE9">
        <w:rPr>
          <w:lang w:val="es-ES_tradnl"/>
        </w:rPr>
        <w:t xml:space="preserve"> </w:t>
      </w:r>
      <w:proofErr w:type="spellStart"/>
      <w:r w:rsidR="00457D65">
        <w:t>só</w:t>
      </w:r>
      <w:r w:rsidR="003F6922">
        <w:t>lo</w:t>
      </w:r>
      <w:proofErr w:type="spellEnd"/>
      <w:r w:rsidR="003F6922">
        <w:t xml:space="preserve"> el </w:t>
      </w:r>
      <w:r w:rsidR="00207773" w:rsidRPr="003F6922">
        <w:t xml:space="preserve">17.6% </w:t>
      </w:r>
      <w:r w:rsidR="003F6922">
        <w:t xml:space="preserve">de los </w:t>
      </w:r>
      <w:proofErr w:type="spellStart"/>
      <w:r w:rsidR="003F6922">
        <w:t>profesores</w:t>
      </w:r>
      <w:proofErr w:type="spellEnd"/>
      <w:r w:rsidR="003F6922">
        <w:t xml:space="preserve"> </w:t>
      </w:r>
      <w:proofErr w:type="spellStart"/>
      <w:r w:rsidR="003F6922">
        <w:t>tienen</w:t>
      </w:r>
      <w:proofErr w:type="spellEnd"/>
      <w:r w:rsidR="003F6922">
        <w:t xml:space="preserve"> </w:t>
      </w:r>
      <w:r w:rsidR="00E50D19">
        <w:t xml:space="preserve">el </w:t>
      </w:r>
      <w:r w:rsidR="003F6922">
        <w:t xml:space="preserve"> </w:t>
      </w:r>
      <w:proofErr w:type="spellStart"/>
      <w:r w:rsidR="003F6922">
        <w:t>título</w:t>
      </w:r>
      <w:proofErr w:type="spellEnd"/>
      <w:r w:rsidR="003F6922">
        <w:t xml:space="preserve"> de doctor (</w:t>
      </w:r>
      <w:proofErr w:type="spellStart"/>
      <w:r w:rsidR="003F6922">
        <w:t>cuando</w:t>
      </w:r>
      <w:proofErr w:type="spellEnd"/>
      <w:r w:rsidR="003F6922">
        <w:t xml:space="preserve"> la media en </w:t>
      </w:r>
      <w:proofErr w:type="spellStart"/>
      <w:r w:rsidR="003F6922">
        <w:t>las</w:t>
      </w:r>
      <w:proofErr w:type="spellEnd"/>
      <w:r w:rsidR="003F6922">
        <w:t xml:space="preserve"> </w:t>
      </w:r>
      <w:proofErr w:type="spellStart"/>
      <w:r w:rsidR="003F6922">
        <w:t>universidades</w:t>
      </w:r>
      <w:proofErr w:type="spellEnd"/>
      <w:r w:rsidR="003F6922">
        <w:t xml:space="preserve"> </w:t>
      </w:r>
      <w:proofErr w:type="spellStart"/>
      <w:r w:rsidR="003F6922">
        <w:t>públicas</w:t>
      </w:r>
      <w:proofErr w:type="spellEnd"/>
      <w:r w:rsidR="003F6922">
        <w:t xml:space="preserve"> </w:t>
      </w:r>
      <w:proofErr w:type="spellStart"/>
      <w:r w:rsidR="003F6922">
        <w:t>españolas</w:t>
      </w:r>
      <w:proofErr w:type="spellEnd"/>
      <w:r w:rsidR="003F6922">
        <w:t xml:space="preserve"> </w:t>
      </w:r>
      <w:proofErr w:type="spellStart"/>
      <w:r w:rsidR="003F6922">
        <w:t>es</w:t>
      </w:r>
      <w:proofErr w:type="spellEnd"/>
      <w:r w:rsidR="003F6922">
        <w:t xml:space="preserve"> del 70%)</w:t>
      </w:r>
    </w:p>
    <w:p w14:paraId="3173FEA2" w14:textId="23F87352" w:rsidR="001B59F0" w:rsidRPr="00D867D3" w:rsidRDefault="00D867D3" w:rsidP="00732404">
      <w:pPr>
        <w:jc w:val="both"/>
        <w:rPr>
          <w:lang w:val="es-ES_tradnl"/>
        </w:rPr>
      </w:pPr>
      <w:r>
        <w:rPr>
          <w:i/>
          <w:lang w:val="es-ES_tradnl"/>
        </w:rPr>
        <w:t>También afecta a l</w:t>
      </w:r>
      <w:r w:rsidR="003F6922" w:rsidRPr="00D867D3">
        <w:rPr>
          <w:i/>
          <w:lang w:val="es-ES_tradnl"/>
        </w:rPr>
        <w:t>a perspectiva del desarrollo</w:t>
      </w:r>
      <w:r>
        <w:rPr>
          <w:i/>
          <w:lang w:val="es-ES_tradnl"/>
        </w:rPr>
        <w:t xml:space="preserve">. </w:t>
      </w:r>
      <w:r w:rsidR="003F6922" w:rsidRPr="00D867D3">
        <w:rPr>
          <w:lang w:val="es-ES_tradnl"/>
        </w:rPr>
        <w:t xml:space="preserve">  </w:t>
      </w:r>
      <w:r>
        <w:rPr>
          <w:lang w:val="es-ES_tradnl"/>
        </w:rPr>
        <w:t>L</w:t>
      </w:r>
      <w:r w:rsidR="003F6922" w:rsidRPr="00D867D3">
        <w:rPr>
          <w:lang w:val="es-ES_tradnl"/>
        </w:rPr>
        <w:t>a apertura del sector educativo al comercio internacional</w:t>
      </w:r>
      <w:r w:rsidR="00457D65" w:rsidRPr="00D867D3">
        <w:rPr>
          <w:lang w:val="es-ES_tradnl"/>
        </w:rPr>
        <w:t xml:space="preserve"> puede dificultar la emergencia de una oferta local</w:t>
      </w:r>
      <w:r w:rsidR="001D51C1" w:rsidRPr="00D867D3">
        <w:rPr>
          <w:lang w:val="es-ES_tradnl"/>
        </w:rPr>
        <w:t xml:space="preserve"> propia y</w:t>
      </w:r>
      <w:r w:rsidR="00457D65" w:rsidRPr="00D867D3">
        <w:rPr>
          <w:lang w:val="es-ES_tradnl"/>
        </w:rPr>
        <w:t xml:space="preserve"> adecuada</w:t>
      </w:r>
      <w:r>
        <w:rPr>
          <w:lang w:val="es-ES_tradnl"/>
        </w:rPr>
        <w:t xml:space="preserve"> en los países del Sur</w:t>
      </w:r>
      <w:r w:rsidR="00DC19F7" w:rsidRPr="00D867D3">
        <w:rPr>
          <w:lang w:val="es-ES_tradnl"/>
        </w:rPr>
        <w:t xml:space="preserve">. En palabras del profesor Philip </w:t>
      </w:r>
      <w:proofErr w:type="spellStart"/>
      <w:r w:rsidR="00DC19F7" w:rsidRPr="00D867D3">
        <w:rPr>
          <w:lang w:val="es-ES_tradnl"/>
        </w:rPr>
        <w:t>Altbach</w:t>
      </w:r>
      <w:proofErr w:type="spellEnd"/>
      <w:r w:rsidR="00DC19F7" w:rsidRPr="00D867D3">
        <w:rPr>
          <w:lang w:val="es-ES_tradnl"/>
        </w:rPr>
        <w:t>,</w:t>
      </w:r>
      <w:r w:rsidR="00E50D19" w:rsidRPr="00D867D3">
        <w:rPr>
          <w:lang w:val="es-ES_tradnl"/>
        </w:rPr>
        <w:t xml:space="preserve"> </w:t>
      </w:r>
      <w:r w:rsidR="00E50D19" w:rsidRPr="00D867D3">
        <w:rPr>
          <w:lang w:val="es-ES_tradnl"/>
        </w:rPr>
        <w:lastRenderedPageBreak/>
        <w:t xml:space="preserve">del Boston </w:t>
      </w:r>
      <w:proofErr w:type="spellStart"/>
      <w:r w:rsidR="00E50D19" w:rsidRPr="00D867D3">
        <w:rPr>
          <w:lang w:val="es-ES_tradnl"/>
        </w:rPr>
        <w:t>College</w:t>
      </w:r>
      <w:proofErr w:type="spellEnd"/>
      <w:r w:rsidR="00E50D19" w:rsidRPr="00D867D3">
        <w:rPr>
          <w:lang w:val="es-ES_tradnl"/>
        </w:rPr>
        <w:t>,</w:t>
      </w:r>
      <w:r w:rsidR="00DC19F7" w:rsidRPr="00D867D3">
        <w:rPr>
          <w:lang w:val="es-ES_tradnl"/>
        </w:rPr>
        <w:t xml:space="preserve"> en un cont</w:t>
      </w:r>
      <w:r w:rsidR="00E50D19" w:rsidRPr="00D867D3">
        <w:rPr>
          <w:lang w:val="es-ES_tradnl"/>
        </w:rPr>
        <w:t>exto de apertura comercial</w:t>
      </w:r>
      <w:r w:rsidR="00DC19F7" w:rsidRPr="00D867D3">
        <w:rPr>
          <w:lang w:val="es-ES_tradnl"/>
        </w:rPr>
        <w:t xml:space="preserve"> “los países en desarrollo estarán en desventaja considerable. Las instituciones académicas locales tendrán dificultades para competir con los proveedores internacionales que optan por crear instituciones en su país</w:t>
      </w:r>
      <w:r w:rsidR="00E50D19" w:rsidRPr="00D867D3">
        <w:rPr>
          <w:lang w:val="es-ES_tradnl"/>
        </w:rPr>
        <w:t>”</w:t>
      </w:r>
      <w:r w:rsidR="00DC19F7" w:rsidRPr="00D867D3">
        <w:rPr>
          <w:lang w:val="es-ES_tradnl"/>
        </w:rPr>
        <w:t>.</w:t>
      </w:r>
    </w:p>
    <w:p w14:paraId="6F9B2CE6" w14:textId="77777777" w:rsidR="00BB3D8C" w:rsidRPr="001B59F0" w:rsidRDefault="00BB3D8C" w:rsidP="00732404">
      <w:pPr>
        <w:jc w:val="both"/>
        <w:rPr>
          <w:lang w:val="es-ES_tradnl"/>
        </w:rPr>
      </w:pPr>
    </w:p>
    <w:p w14:paraId="2F1659C2" w14:textId="447DD3B7" w:rsidR="00BB3D8C" w:rsidRPr="001B59F0" w:rsidRDefault="00BB3D8C" w:rsidP="00732404">
      <w:pPr>
        <w:jc w:val="both"/>
        <w:rPr>
          <w:lang w:val="es-ES_tradnl"/>
        </w:rPr>
      </w:pPr>
      <w:r w:rsidRPr="001B59F0">
        <w:rPr>
          <w:lang w:val="es-ES_tradnl"/>
        </w:rPr>
        <w:t>E</w:t>
      </w:r>
      <w:r w:rsidR="00B7434F">
        <w:rPr>
          <w:lang w:val="es-ES_tradnl"/>
        </w:rPr>
        <w:t>n su momento, e</w:t>
      </w:r>
      <w:r w:rsidRPr="001B59F0">
        <w:rPr>
          <w:lang w:val="es-ES_tradnl"/>
        </w:rPr>
        <w:t xml:space="preserve">l Acuerdo General de Comercio de Servicios de la OMC encontró mucha oposición </w:t>
      </w:r>
      <w:r w:rsidR="003F6922">
        <w:rPr>
          <w:lang w:val="es-ES_tradnl"/>
        </w:rPr>
        <w:t xml:space="preserve">entre la comunidad </w:t>
      </w:r>
      <w:r w:rsidR="00DC19F7">
        <w:rPr>
          <w:lang w:val="es-ES_tradnl"/>
        </w:rPr>
        <w:t xml:space="preserve">educativa </w:t>
      </w:r>
      <w:r w:rsidR="003F6922">
        <w:rPr>
          <w:lang w:val="es-ES_tradnl"/>
        </w:rPr>
        <w:t>internacional</w:t>
      </w:r>
      <w:r w:rsidR="00DC19F7">
        <w:rPr>
          <w:lang w:val="es-ES_tradnl"/>
        </w:rPr>
        <w:t xml:space="preserve"> y</w:t>
      </w:r>
      <w:r w:rsidR="00E50D19">
        <w:rPr>
          <w:lang w:val="es-ES_tradnl"/>
        </w:rPr>
        <w:t>,</w:t>
      </w:r>
      <w:r w:rsidR="00DC19F7">
        <w:rPr>
          <w:lang w:val="es-ES_tradnl"/>
        </w:rPr>
        <w:t xml:space="preserve"> </w:t>
      </w:r>
      <w:r w:rsidR="00E50D19">
        <w:rPr>
          <w:lang w:val="es-ES_tradnl"/>
        </w:rPr>
        <w:t>como consecuencia de ello,</w:t>
      </w:r>
      <w:r w:rsidR="00DC19F7">
        <w:rPr>
          <w:lang w:val="es-ES_tradnl"/>
        </w:rPr>
        <w:t xml:space="preserve"> </w:t>
      </w:r>
      <w:r w:rsidR="003F6922">
        <w:rPr>
          <w:lang w:val="es-ES_tradnl"/>
        </w:rPr>
        <w:t>muchos países se comprometieron a no ofrecer ni a demandar la apertura</w:t>
      </w:r>
      <w:r w:rsidR="00B7434F">
        <w:rPr>
          <w:lang w:val="es-ES_tradnl"/>
        </w:rPr>
        <w:t xml:space="preserve"> comercial</w:t>
      </w:r>
      <w:r w:rsidR="003F6922">
        <w:rPr>
          <w:lang w:val="es-ES_tradnl"/>
        </w:rPr>
        <w:t xml:space="preserve"> del sector educativo. </w:t>
      </w:r>
      <w:r w:rsidR="00DC19F7">
        <w:rPr>
          <w:lang w:val="es-ES_tradnl"/>
        </w:rPr>
        <w:t>No obstante, l</w:t>
      </w:r>
      <w:r w:rsidRPr="001B59F0">
        <w:rPr>
          <w:lang w:val="es-ES_tradnl"/>
        </w:rPr>
        <w:t xml:space="preserve">os países más interesados </w:t>
      </w:r>
      <w:r w:rsidR="003F6922">
        <w:rPr>
          <w:lang w:val="es-ES_tradnl"/>
        </w:rPr>
        <w:t>en l</w:t>
      </w:r>
      <w:r w:rsidR="00DC19F7">
        <w:rPr>
          <w:lang w:val="es-ES_tradnl"/>
        </w:rPr>
        <w:t>a comercialización de servicios (</w:t>
      </w:r>
      <w:r w:rsidR="00E50D19">
        <w:rPr>
          <w:lang w:val="es-ES_tradnl"/>
        </w:rPr>
        <w:t>incluyendo</w:t>
      </w:r>
      <w:r w:rsidR="00DC19F7">
        <w:rPr>
          <w:lang w:val="es-ES_tradnl"/>
        </w:rPr>
        <w:t xml:space="preserve"> los servicios educativos) se han propuesto continuar </w:t>
      </w:r>
      <w:r w:rsidR="00E50D19">
        <w:rPr>
          <w:lang w:val="es-ES_tradnl"/>
        </w:rPr>
        <w:t>avanzando</w:t>
      </w:r>
      <w:r w:rsidR="00DC19F7">
        <w:rPr>
          <w:lang w:val="es-ES_tradnl"/>
        </w:rPr>
        <w:t xml:space="preserve"> en la liberalización de </w:t>
      </w:r>
      <w:r w:rsidR="00E50D19">
        <w:rPr>
          <w:lang w:val="es-ES_tradnl"/>
        </w:rPr>
        <w:t xml:space="preserve">los </w:t>
      </w:r>
      <w:r w:rsidR="00DC19F7">
        <w:rPr>
          <w:lang w:val="es-ES_tradnl"/>
        </w:rPr>
        <w:t>servicios a través de un</w:t>
      </w:r>
      <w:r w:rsidR="00E50D19">
        <w:rPr>
          <w:lang w:val="es-ES_tradnl"/>
        </w:rPr>
        <w:t xml:space="preserve"> nuevo</w:t>
      </w:r>
      <w:r w:rsidR="00DC19F7">
        <w:rPr>
          <w:lang w:val="es-ES_tradnl"/>
        </w:rPr>
        <w:t xml:space="preserve"> acuerdo comercial con menor alcance territorial, el TISA.</w:t>
      </w:r>
    </w:p>
    <w:p w14:paraId="077E3807" w14:textId="77777777" w:rsidR="001B59F0" w:rsidRPr="001B59F0" w:rsidRDefault="001B59F0" w:rsidP="00732404">
      <w:pPr>
        <w:jc w:val="both"/>
        <w:rPr>
          <w:lang w:val="es-ES_tradnl"/>
        </w:rPr>
      </w:pPr>
    </w:p>
    <w:p w14:paraId="10382223" w14:textId="08F8C8C0" w:rsidR="00DC19F7" w:rsidRDefault="00DC19F7" w:rsidP="00732404">
      <w:pPr>
        <w:jc w:val="both"/>
        <w:rPr>
          <w:lang w:val="es-ES_tradnl"/>
        </w:rPr>
      </w:pPr>
      <w:r>
        <w:rPr>
          <w:lang w:val="es-ES_tradnl"/>
        </w:rPr>
        <w:t>Por los motivos expuestos brevemente en este artículo, los países deberían excluir la educación de las negociaciones</w:t>
      </w:r>
      <w:r w:rsidR="00181CBC">
        <w:rPr>
          <w:lang w:val="es-ES_tradnl"/>
        </w:rPr>
        <w:t xml:space="preserve"> </w:t>
      </w:r>
      <w:r w:rsidR="00E50D19">
        <w:rPr>
          <w:lang w:val="es-ES_tradnl"/>
        </w:rPr>
        <w:t>del TISA</w:t>
      </w:r>
      <w:r>
        <w:rPr>
          <w:lang w:val="es-ES_tradnl"/>
        </w:rPr>
        <w:t>. La misma UNESCO, en e</w:t>
      </w:r>
      <w:r w:rsidRPr="001B59F0">
        <w:rPr>
          <w:lang w:val="es-ES_tradnl"/>
        </w:rPr>
        <w:t xml:space="preserve">l comunicado </w:t>
      </w:r>
      <w:r>
        <w:rPr>
          <w:lang w:val="es-ES_tradnl"/>
        </w:rPr>
        <w:t>que emitió acabado el Congreso Mundial de la Educa</w:t>
      </w:r>
      <w:r w:rsidRPr="001B59F0">
        <w:rPr>
          <w:lang w:val="es-ES_tradnl"/>
        </w:rPr>
        <w:t>ción Superior del a</w:t>
      </w:r>
      <w:r>
        <w:rPr>
          <w:lang w:val="es-ES_tradnl"/>
        </w:rPr>
        <w:t>ño 2009 invitó</w:t>
      </w:r>
      <w:r w:rsidRPr="001B59F0">
        <w:rPr>
          <w:lang w:val="es-ES_tradnl"/>
        </w:rPr>
        <w:t xml:space="preserve"> a los país</w:t>
      </w:r>
      <w:r w:rsidR="00181CBC">
        <w:rPr>
          <w:lang w:val="es-ES_tradnl"/>
        </w:rPr>
        <w:t>es</w:t>
      </w:r>
      <w:r w:rsidRPr="001B59F0">
        <w:rPr>
          <w:lang w:val="es-ES_tradnl"/>
        </w:rPr>
        <w:t xml:space="preserve"> miembros a que no adqui</w:t>
      </w:r>
      <w:r>
        <w:rPr>
          <w:lang w:val="es-ES_tradnl"/>
        </w:rPr>
        <w:t>ri</w:t>
      </w:r>
      <w:r w:rsidRPr="001B59F0">
        <w:rPr>
          <w:lang w:val="es-ES_tradnl"/>
        </w:rPr>
        <w:t>eran compromisos de liberalización en el marco de la OMC</w:t>
      </w:r>
      <w:r>
        <w:rPr>
          <w:lang w:val="es-ES_tradnl"/>
        </w:rPr>
        <w:t>. Ahora bien,</w:t>
      </w:r>
      <w:r w:rsidR="00B7434F">
        <w:rPr>
          <w:lang w:val="es-ES_tradnl"/>
        </w:rPr>
        <w:t xml:space="preserve"> más  allá de estas medidas reactivas,</w:t>
      </w:r>
      <w:r>
        <w:rPr>
          <w:lang w:val="es-ES_tradnl"/>
        </w:rPr>
        <w:t xml:space="preserve"> cabe decir que la mejor vacuna contra los efectos de los acuerdos de libre comercio reside en la construcción de sistemas educativos públicos </w:t>
      </w:r>
      <w:r w:rsidR="00181CBC">
        <w:rPr>
          <w:lang w:val="es-ES_tradnl"/>
        </w:rPr>
        <w:t xml:space="preserve">y </w:t>
      </w:r>
      <w:r>
        <w:rPr>
          <w:lang w:val="es-ES_tradnl"/>
        </w:rPr>
        <w:t xml:space="preserve">de calidad. Es más que probable que los proveedores transnacionales lucrativos no encuentren muchas oportunidades de negocio en </w:t>
      </w:r>
      <w:r w:rsidR="00181CBC">
        <w:rPr>
          <w:lang w:val="es-ES_tradnl"/>
        </w:rPr>
        <w:t xml:space="preserve">aquellos </w:t>
      </w:r>
      <w:r>
        <w:rPr>
          <w:lang w:val="es-ES_tradnl"/>
        </w:rPr>
        <w:t xml:space="preserve">países en los que la oferta pública es suficiente, diversa y de </w:t>
      </w:r>
      <w:r w:rsidR="00181CBC">
        <w:rPr>
          <w:lang w:val="es-ES_tradnl"/>
        </w:rPr>
        <w:t>excelencia</w:t>
      </w:r>
      <w:r>
        <w:rPr>
          <w:lang w:val="es-ES_tradnl"/>
        </w:rPr>
        <w:t>.</w:t>
      </w:r>
    </w:p>
    <w:p w14:paraId="54825807" w14:textId="77777777" w:rsidR="00DC19F7" w:rsidRDefault="00DC19F7" w:rsidP="00732404">
      <w:pPr>
        <w:jc w:val="both"/>
        <w:rPr>
          <w:lang w:val="es-ES_tradnl"/>
        </w:rPr>
      </w:pPr>
    </w:p>
    <w:p w14:paraId="2777F10A" w14:textId="4653F7C9" w:rsidR="001B59F0" w:rsidRPr="001B59F0" w:rsidRDefault="00DC19F7" w:rsidP="00732404">
      <w:pPr>
        <w:jc w:val="both"/>
        <w:rPr>
          <w:lang w:val="es-ES_tradnl"/>
        </w:rPr>
      </w:pPr>
      <w:r>
        <w:rPr>
          <w:lang w:val="es-ES_tradnl"/>
        </w:rPr>
        <w:t>Finalmente, oponerse a</w:t>
      </w:r>
      <w:r w:rsidR="00B7434F">
        <w:rPr>
          <w:lang w:val="es-ES_tradnl"/>
        </w:rPr>
        <w:t>l</w:t>
      </w:r>
      <w:r>
        <w:rPr>
          <w:lang w:val="es-ES_tradnl"/>
        </w:rPr>
        <w:t xml:space="preserve"> TISA</w:t>
      </w:r>
      <w:r w:rsidR="00181CBC">
        <w:rPr>
          <w:lang w:val="es-ES_tradnl"/>
        </w:rPr>
        <w:t xml:space="preserve"> (</w:t>
      </w:r>
      <w:r w:rsidR="00B7434F">
        <w:rPr>
          <w:lang w:val="es-ES_tradnl"/>
        </w:rPr>
        <w:t>com</w:t>
      </w:r>
      <w:r w:rsidR="00181CBC">
        <w:rPr>
          <w:lang w:val="es-ES_tradnl"/>
        </w:rPr>
        <w:t>o al AGCS en su momento)</w:t>
      </w:r>
      <w:r>
        <w:rPr>
          <w:lang w:val="es-ES_tradnl"/>
        </w:rPr>
        <w:t xml:space="preserve"> no debe confundirse con oponerse a la internacionalización de la educación</w:t>
      </w:r>
      <w:r w:rsidR="001B59F0" w:rsidRPr="001B59F0">
        <w:rPr>
          <w:lang w:val="es-ES_tradnl"/>
        </w:rPr>
        <w:t xml:space="preserve">. </w:t>
      </w:r>
      <w:r>
        <w:rPr>
          <w:lang w:val="es-ES_tradnl"/>
        </w:rPr>
        <w:t>Más bien al contrario. L</w:t>
      </w:r>
      <w:r w:rsidR="001B59F0">
        <w:rPr>
          <w:lang w:val="es-ES_tradnl"/>
        </w:rPr>
        <w:t>os intercambios</w:t>
      </w:r>
      <w:r w:rsidR="00181CBC">
        <w:rPr>
          <w:lang w:val="es-ES_tradnl"/>
        </w:rPr>
        <w:t xml:space="preserve"> con fines no-comerciales</w:t>
      </w:r>
      <w:r w:rsidR="001B59F0">
        <w:rPr>
          <w:lang w:val="es-ES_tradnl"/>
        </w:rPr>
        <w:t xml:space="preserve"> entre profesores y estudiantes de diferentes países, los consorcios internacionales para la creación de programas de </w:t>
      </w:r>
      <w:r w:rsidR="00181CBC">
        <w:rPr>
          <w:lang w:val="es-ES_tradnl"/>
        </w:rPr>
        <w:t xml:space="preserve">estudios </w:t>
      </w:r>
      <w:r w:rsidR="001B59F0">
        <w:rPr>
          <w:lang w:val="es-ES_tradnl"/>
        </w:rPr>
        <w:t xml:space="preserve">o </w:t>
      </w:r>
      <w:r w:rsidR="00181CBC">
        <w:rPr>
          <w:lang w:val="es-ES_tradnl"/>
        </w:rPr>
        <w:t xml:space="preserve">de </w:t>
      </w:r>
      <w:r w:rsidR="001B59F0">
        <w:rPr>
          <w:lang w:val="es-ES_tradnl"/>
        </w:rPr>
        <w:t xml:space="preserve">proyectos de investigación no hacen más que reforzar el intercambio de ideas y la calidad de los sistemas educativos. </w:t>
      </w:r>
      <w:r w:rsidR="00181CBC">
        <w:rPr>
          <w:lang w:val="es-ES_tradnl"/>
        </w:rPr>
        <w:t xml:space="preserve">Por lo tanto, la cooperación internacional es otro </w:t>
      </w:r>
      <w:r w:rsidR="00B7434F">
        <w:rPr>
          <w:lang w:val="es-ES_tradnl"/>
        </w:rPr>
        <w:t xml:space="preserve">de los </w:t>
      </w:r>
      <w:r w:rsidR="00181CBC">
        <w:rPr>
          <w:lang w:val="es-ES_tradnl"/>
        </w:rPr>
        <w:t>instrumento</w:t>
      </w:r>
      <w:r w:rsidR="00B7434F">
        <w:rPr>
          <w:lang w:val="es-ES_tradnl"/>
        </w:rPr>
        <w:t xml:space="preserve"> de los </w:t>
      </w:r>
      <w:r w:rsidR="00181CBC">
        <w:rPr>
          <w:lang w:val="es-ES_tradnl"/>
        </w:rPr>
        <w:t xml:space="preserve">que </w:t>
      </w:r>
      <w:r w:rsidR="00B7434F">
        <w:rPr>
          <w:lang w:val="es-ES_tradnl"/>
        </w:rPr>
        <w:t xml:space="preserve">dispone la comunidad educativa para </w:t>
      </w:r>
      <w:r w:rsidR="00181CBC">
        <w:rPr>
          <w:lang w:val="es-ES_tradnl"/>
        </w:rPr>
        <w:t>oponer</w:t>
      </w:r>
      <w:r w:rsidR="00B7434F">
        <w:rPr>
          <w:lang w:val="es-ES_tradnl"/>
        </w:rPr>
        <w:t xml:space="preserve">se </w:t>
      </w:r>
      <w:r w:rsidR="00181CBC">
        <w:rPr>
          <w:lang w:val="es-ES_tradnl"/>
        </w:rPr>
        <w:t xml:space="preserve">a las dinámicas de transnacionalización educativa que se plantean desde una lógica meramente comercial </w:t>
      </w:r>
      <w:r w:rsidR="00B7434F">
        <w:rPr>
          <w:lang w:val="es-ES_tradnl"/>
        </w:rPr>
        <w:t>o</w:t>
      </w:r>
      <w:r w:rsidR="00181CBC">
        <w:rPr>
          <w:lang w:val="es-ES_tradnl"/>
        </w:rPr>
        <w:t xml:space="preserve"> lucrativa</w:t>
      </w:r>
      <w:r w:rsidR="00B7434F">
        <w:rPr>
          <w:lang w:val="es-ES_tradnl"/>
        </w:rPr>
        <w:t>.</w:t>
      </w:r>
    </w:p>
    <w:sectPr w:rsidR="001B59F0" w:rsidRPr="001B59F0" w:rsidSect="00922E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2592"/>
    <w:multiLevelType w:val="hybridMultilevel"/>
    <w:tmpl w:val="1A80E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82D05"/>
    <w:multiLevelType w:val="hybridMultilevel"/>
    <w:tmpl w:val="C1A0D3B0"/>
    <w:lvl w:ilvl="0" w:tplc="BC743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C4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C4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6E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CF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89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E0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6C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CF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870F7E"/>
    <w:multiLevelType w:val="hybridMultilevel"/>
    <w:tmpl w:val="C1987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8C"/>
    <w:rsid w:val="0003545B"/>
    <w:rsid w:val="00181CBC"/>
    <w:rsid w:val="001B59F0"/>
    <w:rsid w:val="001D51C1"/>
    <w:rsid w:val="00207773"/>
    <w:rsid w:val="002E0FB7"/>
    <w:rsid w:val="002E1DA7"/>
    <w:rsid w:val="002E2882"/>
    <w:rsid w:val="003F6922"/>
    <w:rsid w:val="00422EF7"/>
    <w:rsid w:val="0044098B"/>
    <w:rsid w:val="00457D65"/>
    <w:rsid w:val="0055596F"/>
    <w:rsid w:val="00732404"/>
    <w:rsid w:val="00904997"/>
    <w:rsid w:val="00922E59"/>
    <w:rsid w:val="00975DFA"/>
    <w:rsid w:val="00B7434F"/>
    <w:rsid w:val="00BB3D8C"/>
    <w:rsid w:val="00C20C84"/>
    <w:rsid w:val="00C83210"/>
    <w:rsid w:val="00CE5AE9"/>
    <w:rsid w:val="00D867D3"/>
    <w:rsid w:val="00DC19F7"/>
    <w:rsid w:val="00E11B15"/>
    <w:rsid w:val="00E50D19"/>
    <w:rsid w:val="00EE0BC8"/>
    <w:rsid w:val="00F22F3E"/>
    <w:rsid w:val="00F7343E"/>
    <w:rsid w:val="00FB3B6E"/>
    <w:rsid w:val="00FD225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BB8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B3B6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B3B6E"/>
    <w:rPr>
      <w:rFonts w:ascii="Times" w:hAnsi="Times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FB3B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59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1DA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D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B3B6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B3B6E"/>
    <w:rPr>
      <w:rFonts w:ascii="Times" w:hAnsi="Times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FB3B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59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1DA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D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5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ttac.es/2014/07/05/acuerdo-sobre-el-comercio-de-servicios-tis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4771</Characters>
  <Application>Microsoft Macintosh Word</Application>
  <DocSecurity>0</DocSecurity>
  <Lines>39</Lines>
  <Paragraphs>11</Paragraphs>
  <ScaleCrop>false</ScaleCrop>
  <Company>Universitat Autònoma de Barcelona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Verger</dc:creator>
  <cp:keywords/>
  <dc:description/>
  <cp:lastModifiedBy>Mar Candela</cp:lastModifiedBy>
  <cp:revision>3</cp:revision>
  <cp:lastPrinted>2015-05-07T13:58:00Z</cp:lastPrinted>
  <dcterms:created xsi:type="dcterms:W3CDTF">2015-08-12T15:53:00Z</dcterms:created>
  <dcterms:modified xsi:type="dcterms:W3CDTF">2015-08-14T17:35:00Z</dcterms:modified>
</cp:coreProperties>
</file>